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沙画师 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（1）有较强的绘画功底，美术类专业优先；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（2）良好的语言表达能力，普通话标准、有亲和力，有强烈的市场敏感度和创新意识；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（3）具备5年沙画师工作经验以上特别优秀者可放宽条件。 3300-4300 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工程管理 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r>
        <w:rPr>
          <w:rFonts w:ascii="宋体" w:hAnsi="宋体" w:eastAsia="宋体" w:cs="宋体"/>
          <w:sz w:val="24"/>
          <w:szCs w:val="24"/>
        </w:rPr>
        <w:t>（1）爱岗敬业、踏实勤奋，具备良好的沟通能力和团队合作精神；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（2）工程管理专业，持有二级建造师证书者优先；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（3）有丰富的工程管理工作经验，参与大型工程项目建设、项目管理工作经历 。 4500-5500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6806"/>
    <w:rsid w:val="0FBA6806"/>
    <w:rsid w:val="3754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2021-07-13T03:32:00Z</dcterms:created>
  <dc:creator>滕飞</dc:creator>
  <cp:lastModifiedBy>滕飞</cp:lastModifiedBy>
  <dcterms:modified xsi:type="dcterms:W3CDTF">2021-07-13T03:32:39Z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65017A8F7CFA45AD9E34780614B8DFC1</vt:lpwstr>
  </property>
</Properties>
</file>