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16"/>
        <w:gridCol w:w="650"/>
        <w:gridCol w:w="684"/>
        <w:gridCol w:w="666"/>
        <w:gridCol w:w="517"/>
        <w:gridCol w:w="550"/>
        <w:gridCol w:w="750"/>
        <w:gridCol w:w="2683"/>
        <w:gridCol w:w="2534"/>
        <w:gridCol w:w="485"/>
        <w:gridCol w:w="817"/>
        <w:gridCol w:w="1464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2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highlight w:val="none"/>
                <w:lang w:bidi="ar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2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3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Style w:val="7"/>
                <w:rFonts w:hint="default" w:ascii="Times New Roman" w:hAnsi="Times New Roman" w:eastAsia="方正小标宋_GBK" w:cs="Times New Roman"/>
                <w:sz w:val="32"/>
                <w:szCs w:val="32"/>
                <w:highlight w:val="none"/>
                <w:lang w:eastAsia="zh-CN" w:bidi="ar"/>
              </w:rPr>
              <w:t>建湖县</w:t>
            </w:r>
            <w:r>
              <w:rPr>
                <w:rStyle w:val="7"/>
                <w:rFonts w:hint="default" w:ascii="Times New Roman" w:hAnsi="Times New Roman" w:cs="Times New Roman"/>
                <w:sz w:val="32"/>
                <w:szCs w:val="32"/>
                <w:highlight w:val="none"/>
                <w:lang w:bidi="ar"/>
              </w:rPr>
              <w:t>融媒体中心202</w:t>
            </w:r>
            <w:r>
              <w:rPr>
                <w:rStyle w:val="7"/>
                <w:rFonts w:hint="eastAsia" w:ascii="Times New Roman" w:hAnsi="Times New Roman" w:eastAsia="方正小标宋_GBK" w:cs="Times New Roman"/>
                <w:sz w:val="32"/>
                <w:szCs w:val="32"/>
                <w:highlight w:val="none"/>
                <w:lang w:val="en-US" w:eastAsia="zh-CN"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32"/>
                <w:szCs w:val="32"/>
                <w:highlight w:val="none"/>
                <w:lang w:bidi="ar"/>
              </w:rPr>
              <w:t>年公开招聘</w:t>
            </w:r>
            <w:r>
              <w:rPr>
                <w:rStyle w:val="7"/>
                <w:rFonts w:hint="default" w:ascii="Times New Roman" w:hAnsi="Times New Roman" w:eastAsia="方正小标宋_GBK" w:cs="Times New Roman"/>
                <w:sz w:val="32"/>
                <w:szCs w:val="32"/>
                <w:highlight w:val="none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cs="Times New Roman"/>
                <w:sz w:val="32"/>
                <w:szCs w:val="32"/>
                <w:highlight w:val="none"/>
                <w:lang w:bidi="ar"/>
              </w:rPr>
              <w:t>人员岗位表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招聘单位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经费来源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招聘岗位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人数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开考比例</w:t>
            </w:r>
          </w:p>
        </w:tc>
        <w:tc>
          <w:tcPr>
            <w:tcW w:w="6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招聘条件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考试形式及所占比例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其他说明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政策咨询电话及联系人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岗位代码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岗位名称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类别</w:t>
            </w:r>
          </w:p>
        </w:tc>
        <w:tc>
          <w:tcPr>
            <w:tcW w:w="5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学历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其他条件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对象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建湖县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融媒体中心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全额拨款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</w:rPr>
              <w:t>01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全媒体记者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专业技术类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1:3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本科及以上学历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，取得相应学位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新闻与传播、新闻传播学、广播电视、汉语言文学、新闻学、广播电视新闻、广播电视编导、广播电视新闻学、广播电视学、全媒体新闻采编与制作。取得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国家新闻出版署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新闻记者证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且有5年及以上媒体相关从业经验的，专业不限。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媒体从业经验的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及个人创作的新闻相关作品或获奖证书的复印件。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不限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笔试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%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面试（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专业测试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%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最低服务期不少于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适应加班、室外工作和使用肩扛摄像摄影设备及器材的身体条件。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</w:rPr>
              <w:t>0515-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</w:rPr>
              <w:t>82060908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崔良逵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短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视频摄制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sz w:val="34"/>
                <w:szCs w:val="34"/>
                <w:highlight w:val="none"/>
                <w:lang w:eastAsia="zh-CN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专业技术类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新闻与传播、新闻传播学、广播电视、广播电视编导、数字媒体艺术、视觉传达设计、播音与主持艺术、戏剧影视文学、影视摄制、全媒体新闻采编与制作、影视摄影与制作。取得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国家新闻出版署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新闻记者证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且有5年及以上媒体相关从业经验的，专业不限。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媒体从业经验的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及个人创作的新闻相关作品或获奖证书的复印件。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最低服务期不少于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适应加班、室外工作和使用肩扛摄像摄影设备及器材的身体条件。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209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专业设置目录为《江苏省202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年度考试录用公务员专业参考目录》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。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E2NTIxYWJmZDFkMTEzZDkzOGEwY2I0NTBkOWYifQ=="/>
  </w:docVars>
  <w:rsids>
    <w:rsidRoot w:val="32BC6A86"/>
    <w:rsid w:val="1E2F2EBA"/>
    <w:rsid w:val="32BC6A86"/>
    <w:rsid w:val="3D8D2648"/>
    <w:rsid w:val="7FC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99"/>
  </w:style>
  <w:style w:type="character" w:customStyle="1" w:styleId="7">
    <w:name w:val="font21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2026-06-15T07:27:00Z</dcterms:created>
  <dc:creator>李相军</dc:creator>
  <cp:lastModifiedBy>李相军</cp:lastModifiedBy>
  <dcterms:modified xsi:type="dcterms:W3CDTF">2026-06-15T07:28:11Z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CE520227E0F14CA78ED17E1EFC7DF792</vt:lpwstr>
  </property>
</Properties>
</file>