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41" w:tblpY="612"/>
        <w:tblOverlap w:val="never"/>
        <w:tblW w:w="10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921"/>
        <w:gridCol w:w="2145"/>
        <w:gridCol w:w="794"/>
        <w:gridCol w:w="683"/>
        <w:gridCol w:w="1032"/>
        <w:gridCol w:w="778"/>
        <w:gridCol w:w="2129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</w:pPr>
            <w:bookmarkStart w:id="0" w:name="_GoBack"/>
            <w:bookmarkEnd w:id="0"/>
            <w:r>
              <w:rPr>
                <w:rStyle w:val="4"/>
                <w:rFonts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岗位代码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招聘系部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专业或专业方向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招聘对象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招聘人数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用工性质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学历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其他条件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上班地点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01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数理系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会计、会计学、财政学、金融学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不限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人才租赁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研究生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取得相应学位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如皋校区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02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学前系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学前教育学、学前教育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不限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人才租赁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研究生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取得相应学位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如皋校区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03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学前系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美术学、艺术学、设计学、艺术设计学、设计艺术学、艺术设计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不限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人才租赁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研究生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取得相应学位、本科专业要求：美术学、美术学（师范）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如皋校区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04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体育系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体操方向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男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人才租赁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研究生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取得相应学位、国家二级运动员以上资格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新校区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05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体育系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体育学、体育教育训练学、民族传统体育学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不限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人才租赁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研究生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取得相应学位、国家二级运动员以上资格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新校区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06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音乐系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音乐学、音乐与舞蹈学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（音乐理论方向）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不限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人才租赁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研究生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取得相应学位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新校区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07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音乐系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钢琴方向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不限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人才租赁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研究生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取得相应学位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新校区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08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音乐系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声乐方向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不限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人才租赁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研究生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取得相应学位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  <w:vertAlign w:val="baseline"/>
              </w:rPr>
              <w:t>新校区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Microsoft YaHei UI" w:hAnsi="Microsoft YaHei UI" w:eastAsia="Microsoft YaHei UI" w:cs="Microsoft YaHei UI"/>
          <w:i w:val="0"/>
          <w:caps w:val="0"/>
          <w:color w:val="494949"/>
          <w:spacing w:val="8"/>
          <w:sz w:val="21"/>
          <w:szCs w:val="21"/>
        </w:rPr>
      </w:pP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  <w:vertAlign w:val="baseline"/>
        </w:rPr>
        <w:t>2018</w:t>
      </w: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  <w:vertAlign w:val="baseline"/>
        </w:rPr>
        <w:t>年专职教师（人才租赁）招聘岗位一览表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C18EF"/>
    <w:rsid w:val="522C1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2018-08-03T06:18:00Z</dcterms:created>
  <dc:creator>滕飞</dc:creator>
  <cp:lastModifiedBy>滕飞</cp:lastModifiedBy>
  <dcterms:modified xsi:type="dcterms:W3CDTF">2018-08-03T06:18:23Z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