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7"/>
      </w:pPr>
      <w:r>
        <w:rPr>
          <w:spacing w:val="-28"/>
        </w:rPr>
        <w:t>附件 </w:t>
      </w:r>
      <w:r>
        <w:rPr>
          <w:rFonts w:ascii="Times New Roman" w:eastAsia="Times New Roman"/>
        </w:rPr>
        <w:t>3</w:t>
      </w:r>
      <w:r>
        <w:rPr/>
        <w:t>：</w:t>
      </w:r>
    </w:p>
    <w:p>
      <w:pPr>
        <w:pStyle w:val="BodyText"/>
        <w:spacing w:before="3"/>
        <w:ind w:left="0"/>
        <w:rPr>
          <w:sz w:val="45"/>
        </w:rPr>
      </w:pPr>
      <w:r>
        <w:rPr/>
        <w:br w:type="column"/>
      </w:r>
      <w:r>
        <w:rPr>
          <w:sz w:val="45"/>
        </w:rPr>
      </w:r>
    </w:p>
    <w:p>
      <w:pPr>
        <w:spacing w:line="297" w:lineRule="auto" w:before="0"/>
        <w:ind w:left="1423" w:right="1673" w:hanging="1320"/>
        <w:jc w:val="left"/>
        <w:rPr>
          <w:sz w:val="44"/>
        </w:rPr>
      </w:pPr>
      <w:r>
        <w:rPr>
          <w:sz w:val="44"/>
        </w:rPr>
        <w:t>南通市通州区优秀教育人才引进奖励办法（摘要）</w:t>
      </w:r>
    </w:p>
    <w:p>
      <w:pPr>
        <w:spacing w:after="0" w:line="297" w:lineRule="auto"/>
        <w:jc w:val="left"/>
        <w:rPr>
          <w:sz w:val="44"/>
        </w:rPr>
        <w:sectPr>
          <w:footerReference w:type="default" r:id="rId5"/>
          <w:type w:val="continuous"/>
          <w:pgSz w:w="11910" w:h="16840"/>
          <w:pgMar w:footer="971" w:top="1440" w:bottom="1160" w:left="1360" w:right="1200"/>
          <w:pgNumType w:start="1"/>
          <w:cols w:num="2" w:equalWidth="0">
            <w:col w:w="1342" w:space="67"/>
            <w:col w:w="7941"/>
          </w:cols>
        </w:sectPr>
      </w:pPr>
    </w:p>
    <w:p>
      <w:pPr>
        <w:pStyle w:val="BodyText"/>
        <w:ind w:left="0"/>
        <w:rPr>
          <w:sz w:val="20"/>
        </w:rPr>
      </w:pPr>
    </w:p>
    <w:p>
      <w:pPr>
        <w:pStyle w:val="BodyText"/>
        <w:spacing w:before="3"/>
        <w:ind w:left="0"/>
        <w:rPr>
          <w:sz w:val="14"/>
        </w:rPr>
      </w:pPr>
    </w:p>
    <w:p>
      <w:pPr>
        <w:pStyle w:val="BodyText"/>
        <w:spacing w:before="54"/>
        <w:ind w:left="742"/>
        <w:rPr>
          <w:rFonts w:ascii="黑体" w:eastAsia="黑体" w:hint="eastAsia"/>
        </w:rPr>
      </w:pPr>
      <w:r>
        <w:rPr>
          <w:rFonts w:ascii="黑体" w:eastAsia="黑体" w:hint="eastAsia"/>
        </w:rPr>
        <w:t>一、引进对象和条件</w:t>
      </w:r>
    </w:p>
    <w:p>
      <w:pPr>
        <w:pStyle w:val="BodyText"/>
        <w:spacing w:line="271" w:lineRule="auto" w:before="44"/>
        <w:ind w:right="102" w:firstLine="638"/>
      </w:pPr>
      <w:r>
        <w:rPr>
          <w:rFonts w:ascii="Microsoft JhengHei" w:eastAsia="Microsoft JhengHei" w:hint="eastAsia"/>
          <w:b/>
          <w:spacing w:val="-10"/>
        </w:rPr>
        <w:t>引进对象：</w:t>
      </w:r>
      <w:r>
        <w:rPr>
          <w:spacing w:val="-10"/>
        </w:rPr>
        <w:t>热爱教育事业，具有教师潜质，有志于长期从教、终身从教，在校期间认真学习，遵章守纪，积极参加学校各项活</w:t>
      </w:r>
    </w:p>
    <w:p>
      <w:pPr>
        <w:pStyle w:val="BodyText"/>
        <w:spacing w:line="326" w:lineRule="auto" w:before="98"/>
        <w:ind w:right="261"/>
      </w:pPr>
      <w:r>
        <w:rPr/>
        <w:t>动，同时，符合优秀教育人才引进相关条件并自愿在本地教育系统公办学校至少服务满 </w:t>
      </w:r>
      <w:r>
        <w:rPr>
          <w:rFonts w:ascii="Times New Roman" w:eastAsia="Times New Roman"/>
        </w:rPr>
        <w:t>5 </w:t>
      </w:r>
      <w:r>
        <w:rPr/>
        <w:t>年以上的。</w:t>
      </w:r>
    </w:p>
    <w:p>
      <w:pPr>
        <w:pStyle w:val="BodyText"/>
        <w:spacing w:line="486" w:lineRule="exact"/>
        <w:ind w:left="742"/>
      </w:pPr>
      <w:r>
        <w:rPr>
          <w:rFonts w:ascii="Microsoft JhengHei" w:eastAsia="Microsoft JhengHei" w:hint="eastAsia"/>
          <w:b/>
          <w:spacing w:val="1"/>
        </w:rPr>
        <w:t>引进条件：</w:t>
      </w:r>
      <w:r>
        <w:rPr/>
        <w:t>普通高校硕士研究生、博士研究生（取得相应毕</w:t>
      </w:r>
    </w:p>
    <w:p>
      <w:pPr>
        <w:pStyle w:val="BodyText"/>
        <w:spacing w:before="79"/>
      </w:pPr>
      <w:r>
        <w:rPr>
          <w:w w:val="99"/>
        </w:rPr>
        <w:t>业证书和学位证</w:t>
      </w:r>
      <w:r>
        <w:rPr>
          <w:spacing w:val="-159"/>
          <w:w w:val="99"/>
        </w:rPr>
        <w:t>）</w:t>
      </w:r>
      <w:r>
        <w:rPr>
          <w:w w:val="99"/>
        </w:rPr>
        <w:t>，其中硕士研究生年龄</w:t>
      </w:r>
      <w:r>
        <w:rPr>
          <w:spacing w:val="-79"/>
        </w:rPr>
        <w:t> </w:t>
      </w:r>
      <w:r>
        <w:rPr>
          <w:rFonts w:ascii="Times New Roman" w:eastAsia="Times New Roman"/>
          <w:spacing w:val="1"/>
          <w:w w:val="99"/>
        </w:rPr>
        <w:t>3</w:t>
      </w:r>
      <w:r>
        <w:rPr>
          <w:rFonts w:ascii="Times New Roman" w:eastAsia="Times New Roman"/>
          <w:w w:val="99"/>
        </w:rPr>
        <w:t>5</w:t>
      </w:r>
      <w:r>
        <w:rPr>
          <w:rFonts w:ascii="Times New Roman" w:eastAsia="Times New Roman"/>
        </w:rPr>
        <w:t> </w:t>
      </w:r>
      <w:r>
        <w:rPr>
          <w:w w:val="99"/>
        </w:rPr>
        <w:t>周岁以下，博士研究</w:t>
      </w:r>
    </w:p>
    <w:p>
      <w:pPr>
        <w:pStyle w:val="BodyText"/>
        <w:spacing w:line="328" w:lineRule="auto" w:before="149"/>
        <w:ind w:right="261"/>
        <w:jc w:val="both"/>
      </w:pPr>
      <w:r>
        <w:rPr>
          <w:spacing w:val="-11"/>
        </w:rPr>
        <w:t>生年龄可放宽至 </w:t>
      </w:r>
      <w:r>
        <w:rPr>
          <w:rFonts w:ascii="Times New Roman" w:eastAsia="Times New Roman"/>
        </w:rPr>
        <w:t>40 </w:t>
      </w:r>
      <w:r>
        <w:rPr>
          <w:spacing w:val="-13"/>
        </w:rPr>
        <w:t>周岁以下。中小学校招聘的学科类岗位限教育类，职业学校招聘的专业类岗位不限教育类。引进对象需具有相应的教师资格证书（</w:t>
      </w:r>
      <w:r>
        <w:rPr>
          <w:spacing w:val="-19"/>
        </w:rPr>
        <w:t>职业学校专业课教师应在 </w:t>
      </w:r>
      <w:r>
        <w:rPr>
          <w:rFonts w:ascii="Times New Roman" w:eastAsia="Times New Roman"/>
        </w:rPr>
        <w:t>2 </w:t>
      </w:r>
      <w:r>
        <w:rPr/>
        <w:t>年内取得相应教师资格证书，否则予以解聘</w:t>
      </w:r>
      <w:r>
        <w:rPr>
          <w:spacing w:val="-161"/>
        </w:rPr>
        <w:t>）</w:t>
      </w:r>
      <w:r>
        <w:rPr/>
        <w:t>。</w:t>
      </w:r>
    </w:p>
    <w:p>
      <w:pPr>
        <w:pStyle w:val="BodyText"/>
        <w:spacing w:line="405" w:lineRule="exact"/>
        <w:ind w:left="742"/>
        <w:rPr>
          <w:rFonts w:ascii="黑体" w:eastAsia="黑体" w:hint="eastAsia"/>
        </w:rPr>
      </w:pPr>
      <w:r>
        <w:rPr>
          <w:rFonts w:ascii="黑体" w:eastAsia="黑体" w:hint="eastAsia"/>
        </w:rPr>
        <w:t>二、奖励办法和发放</w:t>
      </w:r>
    </w:p>
    <w:p>
      <w:pPr>
        <w:pStyle w:val="ListParagraph"/>
        <w:numPr>
          <w:ilvl w:val="0"/>
          <w:numId w:val="1"/>
        </w:numPr>
        <w:tabs>
          <w:tab w:pos="988" w:val="left" w:leader="none"/>
        </w:tabs>
        <w:spacing w:line="326" w:lineRule="auto" w:before="149" w:after="0"/>
        <w:ind w:left="104" w:right="261" w:firstLine="638"/>
        <w:jc w:val="both"/>
        <w:rPr>
          <w:sz w:val="32"/>
        </w:rPr>
      </w:pPr>
      <w:r>
        <w:rPr>
          <w:spacing w:val="4"/>
          <w:w w:val="95"/>
          <w:sz w:val="32"/>
        </w:rPr>
        <w:t>引进的优秀教育人才设立服务期制度，须签订在通州区教 </w:t>
      </w:r>
      <w:r>
        <w:rPr>
          <w:spacing w:val="-8"/>
          <w:sz w:val="32"/>
        </w:rPr>
        <w:t>体系统服务期不少于 </w:t>
      </w:r>
      <w:r>
        <w:rPr>
          <w:rFonts w:ascii="Times New Roman" w:eastAsia="Times New Roman"/>
          <w:sz w:val="32"/>
        </w:rPr>
        <w:t>5</w:t>
      </w:r>
      <w:r>
        <w:rPr>
          <w:rFonts w:ascii="Times New Roman" w:eastAsia="Times New Roman"/>
          <w:spacing w:val="5"/>
          <w:sz w:val="32"/>
        </w:rPr>
        <w:t> </w:t>
      </w:r>
      <w:r>
        <w:rPr>
          <w:sz w:val="32"/>
        </w:rPr>
        <w:t>年的聘用合同，并承担一线教学或管理工作。</w:t>
      </w:r>
    </w:p>
    <w:p>
      <w:pPr>
        <w:pStyle w:val="ListParagraph"/>
        <w:numPr>
          <w:ilvl w:val="0"/>
          <w:numId w:val="1"/>
        </w:numPr>
        <w:tabs>
          <w:tab w:pos="988" w:val="left" w:leader="none"/>
        </w:tabs>
        <w:spacing w:line="326" w:lineRule="auto" w:before="8" w:after="0"/>
        <w:ind w:left="104" w:right="261" w:firstLine="638"/>
        <w:jc w:val="left"/>
        <w:rPr>
          <w:sz w:val="32"/>
        </w:rPr>
      </w:pPr>
      <w:r>
        <w:rPr>
          <w:spacing w:val="4"/>
          <w:w w:val="95"/>
          <w:sz w:val="32"/>
        </w:rPr>
        <w:t>对符合条件引进的博士研究生与学校签订聘用合同入编入 </w:t>
      </w:r>
      <w:r>
        <w:rPr>
          <w:spacing w:val="-9"/>
          <w:sz w:val="32"/>
        </w:rPr>
        <w:t>职后奖励标准为每人 </w:t>
      </w:r>
      <w:r>
        <w:rPr>
          <w:rFonts w:ascii="Times New Roman" w:eastAsia="Times New Roman"/>
          <w:sz w:val="32"/>
        </w:rPr>
        <w:t>30</w:t>
      </w:r>
      <w:r>
        <w:rPr>
          <w:rFonts w:ascii="Times New Roman" w:eastAsia="Times New Roman"/>
          <w:spacing w:val="-5"/>
          <w:sz w:val="32"/>
        </w:rPr>
        <w:t> </w:t>
      </w:r>
      <w:r>
        <w:rPr>
          <w:spacing w:val="-13"/>
          <w:sz w:val="32"/>
        </w:rPr>
        <w:t>万元、硕士研究生与学校签订聘用合同入</w:t>
      </w:r>
    </w:p>
    <w:p>
      <w:pPr>
        <w:pStyle w:val="BodyText"/>
        <w:spacing w:before="5"/>
      </w:pPr>
      <w:r>
        <w:rPr/>
        <w:t>编入职后奖励标准为每人 </w:t>
      </w:r>
      <w:r>
        <w:rPr>
          <w:rFonts w:ascii="Times New Roman" w:eastAsia="Times New Roman"/>
        </w:rPr>
        <w:t>12 </w:t>
      </w:r>
      <w:r>
        <w:rPr/>
        <w:t>万元。</w:t>
      </w:r>
    </w:p>
    <w:p>
      <w:pPr>
        <w:pStyle w:val="BodyText"/>
        <w:spacing w:line="326" w:lineRule="auto" w:before="149"/>
        <w:ind w:right="261" w:firstLine="638"/>
      </w:pPr>
      <w:r>
        <w:rPr/>
        <w:t>奖励的发放须在通州公办学校工作满一学年且考核合格，支</w:t>
      </w:r>
      <w:r>
        <w:rPr>
          <w:spacing w:val="-44"/>
        </w:rPr>
        <w:t>付 </w:t>
      </w:r>
      <w:r>
        <w:rPr>
          <w:rFonts w:ascii="Times New Roman" w:eastAsia="Times New Roman"/>
        </w:rPr>
        <w:t>30%</w:t>
      </w:r>
      <w:r>
        <w:rPr>
          <w:spacing w:val="-8"/>
        </w:rPr>
        <w:t>的奖励资金；工作满三学年且考核合格，再支付 </w:t>
      </w:r>
      <w:r>
        <w:rPr>
          <w:rFonts w:ascii="Times New Roman" w:eastAsia="Times New Roman"/>
        </w:rPr>
        <w:t>40%</w:t>
      </w:r>
      <w:r>
        <w:rPr/>
        <w:t>的奖</w:t>
      </w:r>
    </w:p>
    <w:p>
      <w:pPr>
        <w:spacing w:after="0" w:line="326" w:lineRule="auto"/>
        <w:sectPr>
          <w:type w:val="continuous"/>
          <w:pgSz w:w="11910" w:h="16840"/>
          <w:pgMar w:top="1440" w:bottom="1160" w:left="1360" w:right="1200"/>
        </w:sectPr>
      </w:pPr>
    </w:p>
    <w:p>
      <w:pPr>
        <w:spacing w:line="247" w:lineRule="auto" w:before="52"/>
        <w:ind w:left="104" w:right="259" w:firstLine="0"/>
        <w:jc w:val="both"/>
        <w:rPr>
          <w:rFonts w:ascii="Microsoft JhengHei" w:eastAsia="Microsoft JhengHei" w:hint="eastAsia"/>
          <w:b/>
          <w:sz w:val="32"/>
        </w:rPr>
      </w:pPr>
      <w:r>
        <w:rPr>
          <w:spacing w:val="-14"/>
          <w:sz w:val="32"/>
        </w:rPr>
        <w:t>励资金；其余 </w:t>
      </w:r>
      <w:r>
        <w:rPr>
          <w:rFonts w:ascii="Times New Roman" w:eastAsia="Times New Roman"/>
          <w:sz w:val="32"/>
        </w:rPr>
        <w:t>30%</w:t>
      </w:r>
      <w:r>
        <w:rPr>
          <w:spacing w:val="-1"/>
          <w:sz w:val="32"/>
        </w:rPr>
        <w:t>的奖励资金在工作满五学年后，按教育教学业绩考核情况发放剩余的奖励资金。</w:t>
      </w:r>
      <w:r>
        <w:rPr>
          <w:rFonts w:ascii="Microsoft JhengHei" w:eastAsia="Microsoft JhengHei" w:hint="eastAsia"/>
          <w:b/>
          <w:spacing w:val="-1"/>
          <w:sz w:val="32"/>
        </w:rPr>
        <w:t>发放标准以报考岗位条件为依据。</w:t>
      </w:r>
    </w:p>
    <w:p>
      <w:pPr>
        <w:pStyle w:val="ListParagraph"/>
        <w:numPr>
          <w:ilvl w:val="0"/>
          <w:numId w:val="1"/>
        </w:numPr>
        <w:tabs>
          <w:tab w:pos="988" w:val="left" w:leader="none"/>
        </w:tabs>
        <w:spacing w:line="326" w:lineRule="auto" w:before="45" w:after="0"/>
        <w:ind w:left="104" w:right="261" w:firstLine="638"/>
        <w:jc w:val="left"/>
        <w:rPr>
          <w:sz w:val="32"/>
        </w:rPr>
      </w:pPr>
      <w:r>
        <w:rPr>
          <w:spacing w:val="4"/>
          <w:w w:val="95"/>
          <w:sz w:val="32"/>
        </w:rPr>
        <w:t>对引进的各类优秀教育人才，纳入教育后备干部人才库， </w:t>
      </w:r>
      <w:r>
        <w:rPr>
          <w:sz w:val="32"/>
        </w:rPr>
        <w:t>列为重点培养对象，安排导师进行跟踪培养。</w:t>
      </w:r>
    </w:p>
    <w:p>
      <w:pPr>
        <w:pStyle w:val="BodyText"/>
        <w:spacing w:line="328" w:lineRule="auto" w:before="3"/>
        <w:ind w:right="263" w:firstLine="638"/>
        <w:jc w:val="both"/>
      </w:pPr>
      <w:r>
        <w:rPr/>
        <w:t>另外，优秀人才到岗任教后，如在通州买房可享受当地住房补贴优惠政策。同时，为高层次人才提供便捷的医疗服务，享受子女入学问题等公共服务待遇。</w:t>
      </w:r>
    </w:p>
    <w:sectPr>
      <w:pgSz w:w="11910" w:h="16840"/>
      <w:pgMar w:header="0" w:footer="971" w:top="1500" w:bottom="1160" w:left="136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黑体">
    <w:altName w:val="黑体"/>
    <w:charset w:val="86"/>
    <w:family w:val="modern"/>
    <w:pitch w:val="fixed"/>
  </w:font>
  <w:font w:name="Microsoft JhengHei">
    <w:altName w:val="Microsoft JhengHe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79.200012pt;margin-top:782.334778pt;width:37pt;height:16.05pt;mso-position-horizontal-relative:page;mso-position-vertical-relative:page;z-index:-251715584" type="#_x0000_t202" filled="false" stroked="false">
          <v:textbox inset="0,0,0,0">
            <w:txbxContent>
              <w:p>
                <w:pPr>
                  <w:spacing w:line="321" w:lineRule="exact" w:before="0"/>
                  <w:ind w:left="20" w:right="0" w:firstLine="0"/>
                  <w:jc w:val="left"/>
                  <w:rPr>
                    <w:sz w:val="28"/>
                  </w:rPr>
                </w:pPr>
                <w:r>
                  <w:rPr>
                    <w:sz w:val="28"/>
                  </w:rPr>
                  <w:t>- </w:t>
                </w:r>
                <w:r>
                  <w:rPr/>
                  <w:fldChar w:fldCharType="begin"/>
                </w:r>
                <w:r>
                  <w:rPr>
                    <w:sz w:val="28"/>
                  </w:rPr>
                  <w:instrText> PAGE </w:instrText>
                </w:r>
                <w:r>
                  <w:rPr/>
                  <w:fldChar w:fldCharType="separate"/>
                </w:r>
                <w:r>
                  <w:rPr/>
                  <w:t>1</w:t>
                </w:r>
                <w:r>
                  <w:rPr/>
                  <w:fldChar w:fldCharType="end"/>
                </w:r>
                <w:r>
                  <w:rPr>
                    <w:sz w:val="28"/>
                  </w:rPr>
                  <w:t>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4" w:hanging="245"/>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024" w:hanging="245"/>
      </w:pPr>
      <w:rPr>
        <w:rFonts w:hint="default"/>
        <w:lang w:val="zh-CN" w:eastAsia="zh-CN" w:bidi="zh-CN"/>
      </w:rPr>
    </w:lvl>
    <w:lvl w:ilvl="2">
      <w:start w:val="0"/>
      <w:numFmt w:val="bullet"/>
      <w:lvlText w:val="•"/>
      <w:lvlJc w:val="left"/>
      <w:pPr>
        <w:ind w:left="1949" w:hanging="245"/>
      </w:pPr>
      <w:rPr>
        <w:rFonts w:hint="default"/>
        <w:lang w:val="zh-CN" w:eastAsia="zh-CN" w:bidi="zh-CN"/>
      </w:rPr>
    </w:lvl>
    <w:lvl w:ilvl="3">
      <w:start w:val="0"/>
      <w:numFmt w:val="bullet"/>
      <w:lvlText w:val="•"/>
      <w:lvlJc w:val="left"/>
      <w:pPr>
        <w:ind w:left="2873" w:hanging="245"/>
      </w:pPr>
      <w:rPr>
        <w:rFonts w:hint="default"/>
        <w:lang w:val="zh-CN" w:eastAsia="zh-CN" w:bidi="zh-CN"/>
      </w:rPr>
    </w:lvl>
    <w:lvl w:ilvl="4">
      <w:start w:val="0"/>
      <w:numFmt w:val="bullet"/>
      <w:lvlText w:val="•"/>
      <w:lvlJc w:val="left"/>
      <w:pPr>
        <w:ind w:left="3798" w:hanging="245"/>
      </w:pPr>
      <w:rPr>
        <w:rFonts w:hint="default"/>
        <w:lang w:val="zh-CN" w:eastAsia="zh-CN" w:bidi="zh-CN"/>
      </w:rPr>
    </w:lvl>
    <w:lvl w:ilvl="5">
      <w:start w:val="0"/>
      <w:numFmt w:val="bullet"/>
      <w:lvlText w:val="•"/>
      <w:lvlJc w:val="left"/>
      <w:pPr>
        <w:ind w:left="4723" w:hanging="245"/>
      </w:pPr>
      <w:rPr>
        <w:rFonts w:hint="default"/>
        <w:lang w:val="zh-CN" w:eastAsia="zh-CN" w:bidi="zh-CN"/>
      </w:rPr>
    </w:lvl>
    <w:lvl w:ilvl="6">
      <w:start w:val="0"/>
      <w:numFmt w:val="bullet"/>
      <w:lvlText w:val="•"/>
      <w:lvlJc w:val="left"/>
      <w:pPr>
        <w:ind w:left="5647" w:hanging="245"/>
      </w:pPr>
      <w:rPr>
        <w:rFonts w:hint="default"/>
        <w:lang w:val="zh-CN" w:eastAsia="zh-CN" w:bidi="zh-CN"/>
      </w:rPr>
    </w:lvl>
    <w:lvl w:ilvl="7">
      <w:start w:val="0"/>
      <w:numFmt w:val="bullet"/>
      <w:lvlText w:val="•"/>
      <w:lvlJc w:val="left"/>
      <w:pPr>
        <w:ind w:left="6572" w:hanging="245"/>
      </w:pPr>
      <w:rPr>
        <w:rFonts w:hint="default"/>
        <w:lang w:val="zh-CN" w:eastAsia="zh-CN" w:bidi="zh-CN"/>
      </w:rPr>
    </w:lvl>
    <w:lvl w:ilvl="8">
      <w:start w:val="0"/>
      <w:numFmt w:val="bullet"/>
      <w:lvlText w:val="•"/>
      <w:lvlJc w:val="left"/>
      <w:pPr>
        <w:ind w:left="7496" w:hanging="245"/>
      </w:pPr>
      <w:rPr>
        <w:rFonts w:hint="default"/>
        <w:lang w:val="zh-CN" w:eastAsia="zh-CN" w:bidi="zh-C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ind w:left="104"/>
    </w:pPr>
    <w:rPr>
      <w:rFonts w:ascii="宋体" w:hAnsi="宋体" w:eastAsia="宋体" w:cs="宋体"/>
      <w:sz w:val="32"/>
      <w:szCs w:val="32"/>
      <w:lang w:val="zh-CN" w:eastAsia="zh-CN" w:bidi="zh-CN"/>
    </w:rPr>
  </w:style>
  <w:style w:styleId="ListParagraph" w:type="paragraph">
    <w:name w:val="List Paragraph"/>
    <w:basedOn w:val="Normal"/>
    <w:uiPriority w:val="1"/>
    <w:qFormat/>
    <w:pPr>
      <w:spacing w:before="8"/>
      <w:ind w:left="104" w:right="261" w:firstLine="638"/>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秋儿</dc:creator>
  <dcterms:created xsi:type="dcterms:W3CDTF">2021-12-29T07:02:22Z</dcterms:created>
  <dcterms:modified xsi:type="dcterms:W3CDTF">2021-12-29T07:02:22Z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WPS 文字</vt:lpwstr>
  </property>
  <property fmtid="{D5CDD505-2E9C-101B-9397-08002B2CF9AE}" pid="4" name="LastSaved">
    <vt:filetime>2021-12-29T00:00:00Z</vt:filetime>
  </property>
</Properties>
</file>