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EFF"/>
        <w:spacing w:before="0" w:beforeAutospacing="0" w:after="0" w:afterAutospacing="0" w:line="444" w:lineRule="atLeast"/>
        <w:ind w:left="1152" w:right="0" w:firstLine="0"/>
        <w:rPr>
          <w:rFonts w:hint="eastAsia" w:ascii="宋体" w:hAnsi="宋体" w:eastAsia="宋体" w:cs="宋体"/>
          <w:i w:val="0"/>
          <w:caps w:val="0"/>
          <w:color w:val="47484C"/>
          <w:spacing w:val="0"/>
          <w:sz w:val="18"/>
          <w:szCs w:val="18"/>
        </w:rPr>
      </w:pPr>
      <w:r>
        <w:rPr>
          <w:rFonts w:ascii="方正黑体_gbk" w:hAnsi="方正黑体_gbk" w:eastAsia="方正黑体_gbk" w:cs="方正黑体_gbk"/>
          <w:i w:val="0"/>
          <w:caps w:val="0"/>
          <w:color w:val="47484C"/>
          <w:spacing w:val="0"/>
          <w:sz w:val="25"/>
          <w:szCs w:val="25"/>
          <w:bdr w:val="none" w:color="auto" w:sz="0" w:space="0"/>
          <w:shd w:val="clear" w:fill="FDFE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EFF"/>
        <w:spacing w:before="0" w:beforeAutospacing="0" w:after="0" w:afterAutospacing="0" w:line="444" w:lineRule="atLeast"/>
        <w:ind w:left="0" w:right="0" w:firstLine="0"/>
        <w:jc w:val="center"/>
        <w:rPr>
          <w:rFonts w:hint="eastAsia" w:ascii="宋体" w:hAnsi="宋体" w:eastAsia="宋体" w:cs="宋体"/>
          <w:i w:val="0"/>
          <w:caps w:val="0"/>
          <w:color w:val="47484C"/>
          <w:spacing w:val="0"/>
          <w:sz w:val="18"/>
          <w:szCs w:val="18"/>
        </w:rPr>
      </w:pPr>
      <w:r>
        <w:rPr>
          <w:rFonts w:ascii="方正小标宋_gbk" w:hAnsi="方正小标宋_gbk" w:eastAsia="方正小标宋_gbk" w:cs="方正小标宋_gbk"/>
          <w:i w:val="0"/>
          <w:caps w:val="0"/>
          <w:color w:val="47484C"/>
          <w:spacing w:val="0"/>
          <w:sz w:val="34"/>
          <w:szCs w:val="34"/>
          <w:bdr w:val="none" w:color="auto" w:sz="0" w:space="0"/>
          <w:shd w:val="clear" w:fill="FDFEFF"/>
        </w:rPr>
        <w:t>盐城市贸促会公开遴选工作人员职位表</w:t>
      </w:r>
    </w:p>
    <w:tbl>
      <w:tblPr>
        <w:tblW w:w="6924" w:type="dxa"/>
        <w:tblInd w:w="0" w:type="dxa"/>
        <w:shd w:val="clear" w:color="auto" w:fill="FDFEFF"/>
        <w:tblLayout w:type="fixed"/>
        <w:tblCellMar>
          <w:top w:w="0" w:type="dxa"/>
          <w:left w:w="0" w:type="dxa"/>
          <w:bottom w:w="0" w:type="dxa"/>
          <w:right w:w="0" w:type="dxa"/>
        </w:tblCellMar>
      </w:tblPr>
      <w:tblGrid>
        <w:gridCol w:w="912"/>
        <w:gridCol w:w="1104"/>
        <w:gridCol w:w="636"/>
        <w:gridCol w:w="1260"/>
        <w:gridCol w:w="1140"/>
        <w:gridCol w:w="1872"/>
      </w:tblGrid>
      <w:tr>
        <w:tblPrEx>
          <w:tblLayout w:type="fixed"/>
          <w:tblCellMar>
            <w:top w:w="0" w:type="dxa"/>
            <w:left w:w="0" w:type="dxa"/>
            <w:bottom w:w="0" w:type="dxa"/>
            <w:right w:w="0" w:type="dxa"/>
          </w:tblCellMar>
        </w:tblPrEx>
        <w:trPr>
          <w:trHeight w:val="684" w:hRule="atLeast"/>
        </w:trPr>
        <w:tc>
          <w:tcPr>
            <w:tcW w:w="912" w:type="dxa"/>
            <w:vMerge w:val="restart"/>
            <w:tcBorders>
              <w:top w:val="single" w:color="000000" w:sz="4" w:space="0"/>
              <w:left w:val="single" w:color="000000" w:sz="4" w:space="0"/>
              <w:bottom w:val="single" w:color="000000" w:sz="4" w:space="0"/>
              <w:right w:val="single" w:color="000000" w:sz="4" w:space="0"/>
            </w:tcBorders>
            <w:shd w:val="clear" w:color="auto" w:fill="FDFEFF"/>
            <w:tcMar>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sz w:val="18"/>
                <w:szCs w:val="18"/>
              </w:rPr>
            </w:pPr>
            <w:r>
              <w:rPr>
                <w:rFonts w:hint="default" w:ascii="方正黑体_gbk" w:hAnsi="方正黑体_gbk" w:eastAsia="方正黑体_gbk" w:cs="方正黑体_gbk"/>
                <w:i w:val="0"/>
                <w:caps w:val="0"/>
                <w:color w:val="47484C"/>
                <w:spacing w:val="0"/>
                <w:sz w:val="24"/>
                <w:szCs w:val="24"/>
                <w:bdr w:val="none" w:color="auto" w:sz="0" w:space="0"/>
              </w:rPr>
              <w:t>单位</w:t>
            </w:r>
            <w:r>
              <w:rPr>
                <w:rFonts w:ascii="Times New Roman" w:hAnsi="Times New Roman" w:eastAsia="宋体" w:cs="Times New Roman"/>
                <w:i w:val="0"/>
                <w:caps w:val="0"/>
                <w:color w:val="47484C"/>
                <w:spacing w:val="0"/>
                <w:sz w:val="24"/>
                <w:szCs w:val="24"/>
                <w:bdr w:val="none" w:color="auto" w:sz="0" w:space="0"/>
              </w:rPr>
              <w:t> </w:t>
            </w:r>
            <w:r>
              <w:rPr>
                <w:rFonts w:hint="default" w:ascii="Times New Roman" w:hAnsi="Times New Roman" w:eastAsia="宋体" w:cs="Times New Roman"/>
                <w:i w:val="0"/>
                <w:caps w:val="0"/>
                <w:color w:val="47484C"/>
                <w:spacing w:val="0"/>
                <w:sz w:val="24"/>
                <w:szCs w:val="24"/>
                <w:bdr w:val="none" w:color="auto" w:sz="0" w:space="0"/>
              </w:rPr>
              <w:t> </w:t>
            </w:r>
            <w:r>
              <w:rPr>
                <w:rFonts w:hint="default" w:ascii="方正黑体_gbk" w:hAnsi="方正黑体_gbk" w:eastAsia="方正黑体_gbk" w:cs="方正黑体_gbk"/>
                <w:i w:val="0"/>
                <w:caps w:val="0"/>
                <w:color w:val="47484C"/>
                <w:spacing w:val="0"/>
                <w:sz w:val="24"/>
                <w:szCs w:val="24"/>
                <w:bdr w:val="none" w:color="auto" w:sz="0" w:space="0"/>
              </w:rPr>
              <w:t>名称</w:t>
            </w:r>
          </w:p>
        </w:tc>
        <w:tc>
          <w:tcPr>
            <w:tcW w:w="1104" w:type="dxa"/>
            <w:vMerge w:val="restart"/>
            <w:tcBorders>
              <w:top w:val="single" w:color="000000" w:sz="4" w:space="0"/>
              <w:left w:val="nil"/>
              <w:bottom w:val="single" w:color="000000" w:sz="4" w:space="0"/>
              <w:right w:val="single" w:color="000000" w:sz="4" w:space="0"/>
            </w:tcBorders>
            <w:shd w:val="clear" w:color="auto" w:fill="FDFEFF"/>
            <w:tcMar>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sz w:val="18"/>
                <w:szCs w:val="18"/>
              </w:rPr>
            </w:pPr>
            <w:r>
              <w:rPr>
                <w:rFonts w:hint="default" w:ascii="方正黑体_gbk" w:hAnsi="方正黑体_gbk" w:eastAsia="方正黑体_gbk" w:cs="方正黑体_gbk"/>
                <w:i w:val="0"/>
                <w:caps w:val="0"/>
                <w:color w:val="47484C"/>
                <w:spacing w:val="0"/>
                <w:sz w:val="24"/>
                <w:szCs w:val="24"/>
                <w:bdr w:val="none" w:color="auto" w:sz="0" w:space="0"/>
              </w:rPr>
              <w:t>遴选</w:t>
            </w:r>
            <w:r>
              <w:rPr>
                <w:rFonts w:hint="default" w:ascii="Times New Roman" w:hAnsi="Times New Roman" w:eastAsia="宋体" w:cs="Times New Roman"/>
                <w:i w:val="0"/>
                <w:caps w:val="0"/>
                <w:color w:val="47484C"/>
                <w:spacing w:val="0"/>
                <w:sz w:val="24"/>
                <w:szCs w:val="24"/>
                <w:bdr w:val="none" w:color="auto" w:sz="0" w:space="0"/>
              </w:rPr>
              <w:t>   </w:t>
            </w:r>
            <w:r>
              <w:rPr>
                <w:rFonts w:hint="default" w:ascii="方正黑体_gbk" w:hAnsi="方正黑体_gbk" w:eastAsia="方正黑体_gbk" w:cs="方正黑体_gbk"/>
                <w:i w:val="0"/>
                <w:caps w:val="0"/>
                <w:color w:val="47484C"/>
                <w:spacing w:val="0"/>
                <w:sz w:val="24"/>
                <w:szCs w:val="24"/>
                <w:bdr w:val="none" w:color="auto" w:sz="0" w:space="0"/>
              </w:rPr>
              <w:t>职位</w:t>
            </w:r>
          </w:p>
        </w:tc>
        <w:tc>
          <w:tcPr>
            <w:tcW w:w="636" w:type="dxa"/>
            <w:vMerge w:val="restart"/>
            <w:tcBorders>
              <w:top w:val="single" w:color="000000" w:sz="4" w:space="0"/>
              <w:left w:val="nil"/>
              <w:bottom w:val="single" w:color="000000" w:sz="4" w:space="0"/>
              <w:right w:val="single" w:color="000000" w:sz="4" w:space="0"/>
            </w:tcBorders>
            <w:shd w:val="clear" w:color="auto" w:fill="FDFEFF"/>
            <w:tcMar>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sz w:val="18"/>
                <w:szCs w:val="18"/>
              </w:rPr>
            </w:pPr>
            <w:r>
              <w:rPr>
                <w:rFonts w:hint="default" w:ascii="方正黑体_gbk" w:hAnsi="方正黑体_gbk" w:eastAsia="方正黑体_gbk" w:cs="方正黑体_gbk"/>
                <w:i w:val="0"/>
                <w:caps w:val="0"/>
                <w:color w:val="47484C"/>
                <w:spacing w:val="0"/>
                <w:sz w:val="24"/>
                <w:szCs w:val="24"/>
                <w:bdr w:val="none" w:color="auto" w:sz="0" w:space="0"/>
              </w:rPr>
              <w:t>遴选人数</w:t>
            </w:r>
          </w:p>
        </w:tc>
        <w:tc>
          <w:tcPr>
            <w:tcW w:w="4272" w:type="dxa"/>
            <w:gridSpan w:val="3"/>
            <w:tcBorders>
              <w:top w:val="single" w:color="000000" w:sz="4" w:space="0"/>
              <w:left w:val="nil"/>
              <w:bottom w:val="single" w:color="000000" w:sz="4" w:space="0"/>
              <w:right w:val="single" w:color="000000" w:sz="4" w:space="0"/>
            </w:tcBorders>
            <w:shd w:val="clear" w:color="auto" w:fill="FDFEFF"/>
            <w:tcMar>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sz w:val="18"/>
                <w:szCs w:val="18"/>
              </w:rPr>
            </w:pPr>
            <w:r>
              <w:rPr>
                <w:rFonts w:hint="default" w:ascii="方正黑体_gbk" w:hAnsi="方正黑体_gbk" w:eastAsia="方正黑体_gbk" w:cs="方正黑体_gbk"/>
                <w:i w:val="0"/>
                <w:caps w:val="0"/>
                <w:color w:val="47484C"/>
                <w:spacing w:val="0"/>
                <w:sz w:val="24"/>
                <w:szCs w:val="24"/>
                <w:bdr w:val="none" w:color="auto" w:sz="0" w:space="0"/>
              </w:rPr>
              <w:t>资格条件</w:t>
            </w:r>
          </w:p>
        </w:tc>
      </w:tr>
      <w:tr>
        <w:tblPrEx>
          <w:tblLayout w:type="fixed"/>
          <w:tblCellMar>
            <w:top w:w="0" w:type="dxa"/>
            <w:left w:w="0" w:type="dxa"/>
            <w:bottom w:w="0" w:type="dxa"/>
            <w:right w:w="0" w:type="dxa"/>
          </w:tblCellMar>
        </w:tblPrEx>
        <w:trPr>
          <w:trHeight w:val="313" w:hRule="atLeast"/>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FDFEFF"/>
            <w:tcMar>
              <w:left w:w="84" w:type="dxa"/>
              <w:bottom w:w="0" w:type="dxa"/>
              <w:right w:w="84" w:type="dxa"/>
            </w:tcMar>
            <w:vAlign w:val="center"/>
          </w:tcPr>
          <w:p>
            <w:pPr>
              <w:rPr>
                <w:rFonts w:hint="eastAsia" w:ascii="宋体" w:hAnsi="宋体" w:eastAsia="宋体" w:cs="宋体"/>
                <w:i w:val="0"/>
                <w:caps w:val="0"/>
                <w:color w:val="47484C"/>
                <w:spacing w:val="0"/>
                <w:sz w:val="18"/>
                <w:szCs w:val="18"/>
              </w:rPr>
            </w:pPr>
          </w:p>
        </w:tc>
        <w:tc>
          <w:tcPr>
            <w:tcW w:w="1104" w:type="dxa"/>
            <w:vMerge w:val="continue"/>
            <w:tcBorders>
              <w:top w:val="single" w:color="000000" w:sz="4" w:space="0"/>
              <w:left w:val="nil"/>
              <w:bottom w:val="single" w:color="000000" w:sz="4" w:space="0"/>
              <w:right w:val="single" w:color="000000" w:sz="4" w:space="0"/>
            </w:tcBorders>
            <w:shd w:val="clear" w:color="auto" w:fill="FDFEFF"/>
            <w:tcMar>
              <w:left w:w="84" w:type="dxa"/>
              <w:bottom w:w="0" w:type="dxa"/>
              <w:right w:w="84" w:type="dxa"/>
            </w:tcMar>
            <w:vAlign w:val="center"/>
          </w:tcPr>
          <w:p>
            <w:pPr>
              <w:rPr>
                <w:rFonts w:hint="eastAsia" w:ascii="宋体" w:hAnsi="宋体" w:eastAsia="宋体" w:cs="宋体"/>
                <w:i w:val="0"/>
                <w:caps w:val="0"/>
                <w:color w:val="47484C"/>
                <w:spacing w:val="0"/>
                <w:sz w:val="18"/>
                <w:szCs w:val="18"/>
              </w:rPr>
            </w:pPr>
          </w:p>
        </w:tc>
        <w:tc>
          <w:tcPr>
            <w:tcW w:w="636" w:type="dxa"/>
            <w:vMerge w:val="continue"/>
            <w:tcBorders>
              <w:top w:val="single" w:color="000000" w:sz="4" w:space="0"/>
              <w:left w:val="nil"/>
              <w:bottom w:val="single" w:color="000000" w:sz="4" w:space="0"/>
              <w:right w:val="single" w:color="000000" w:sz="4" w:space="0"/>
            </w:tcBorders>
            <w:shd w:val="clear" w:color="auto" w:fill="FDFEFF"/>
            <w:tcMar>
              <w:left w:w="84" w:type="dxa"/>
              <w:bottom w:w="0" w:type="dxa"/>
              <w:right w:w="84" w:type="dxa"/>
            </w:tcMar>
            <w:vAlign w:val="center"/>
          </w:tcPr>
          <w:p>
            <w:pPr>
              <w:rPr>
                <w:rFonts w:hint="eastAsia" w:ascii="宋体" w:hAnsi="宋体" w:eastAsia="宋体" w:cs="宋体"/>
                <w:i w:val="0"/>
                <w:caps w:val="0"/>
                <w:color w:val="47484C"/>
                <w:spacing w:val="0"/>
                <w:sz w:val="18"/>
                <w:szCs w:val="18"/>
              </w:rPr>
            </w:pPr>
          </w:p>
        </w:tc>
        <w:tc>
          <w:tcPr>
            <w:tcW w:w="1260" w:type="dxa"/>
            <w:tcBorders>
              <w:top w:val="nil"/>
              <w:left w:val="nil"/>
              <w:bottom w:val="single" w:color="000000" w:sz="4" w:space="0"/>
              <w:right w:val="single" w:color="000000" w:sz="4" w:space="0"/>
            </w:tcBorders>
            <w:shd w:val="clear" w:color="auto" w:fill="FDFEFF"/>
            <w:tcMar>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sz w:val="18"/>
                <w:szCs w:val="18"/>
              </w:rPr>
            </w:pPr>
            <w:r>
              <w:rPr>
                <w:rFonts w:hint="default" w:ascii="方正黑体_gbk" w:hAnsi="方正黑体_gbk" w:eastAsia="方正黑体_gbk" w:cs="方正黑体_gbk"/>
                <w:i w:val="0"/>
                <w:caps w:val="0"/>
                <w:color w:val="47484C"/>
                <w:spacing w:val="0"/>
                <w:sz w:val="24"/>
                <w:szCs w:val="24"/>
                <w:bdr w:val="none" w:color="auto" w:sz="0" w:space="0"/>
              </w:rPr>
              <w:t>学历</w:t>
            </w:r>
          </w:p>
        </w:tc>
        <w:tc>
          <w:tcPr>
            <w:tcW w:w="1140" w:type="dxa"/>
            <w:tcBorders>
              <w:top w:val="nil"/>
              <w:left w:val="nil"/>
              <w:bottom w:val="single" w:color="000000" w:sz="4" w:space="0"/>
              <w:right w:val="single" w:color="000000" w:sz="4" w:space="0"/>
            </w:tcBorders>
            <w:shd w:val="clear" w:color="auto" w:fill="FDFEFF"/>
            <w:tcMar>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sz w:val="18"/>
                <w:szCs w:val="18"/>
              </w:rPr>
            </w:pPr>
            <w:r>
              <w:rPr>
                <w:rFonts w:hint="default" w:ascii="方正黑体_gbk" w:hAnsi="方正黑体_gbk" w:eastAsia="方正黑体_gbk" w:cs="方正黑体_gbk"/>
                <w:i w:val="0"/>
                <w:caps w:val="0"/>
                <w:color w:val="47484C"/>
                <w:spacing w:val="0"/>
                <w:sz w:val="24"/>
                <w:szCs w:val="24"/>
                <w:bdr w:val="none" w:color="auto" w:sz="0" w:space="0"/>
              </w:rPr>
              <w:t>专业</w:t>
            </w:r>
          </w:p>
        </w:tc>
        <w:tc>
          <w:tcPr>
            <w:tcW w:w="1872" w:type="dxa"/>
            <w:tcBorders>
              <w:top w:val="nil"/>
              <w:left w:val="nil"/>
              <w:bottom w:val="single" w:color="000000" w:sz="4" w:space="0"/>
              <w:right w:val="single" w:color="000000" w:sz="4" w:space="0"/>
            </w:tcBorders>
            <w:shd w:val="clear" w:color="auto" w:fill="FDFEFF"/>
            <w:tcMar>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sz w:val="18"/>
                <w:szCs w:val="18"/>
              </w:rPr>
            </w:pPr>
            <w:r>
              <w:rPr>
                <w:rFonts w:hint="default" w:ascii="方正黑体_gbk" w:hAnsi="方正黑体_gbk" w:eastAsia="方正黑体_gbk" w:cs="方正黑体_gbk"/>
                <w:i w:val="0"/>
                <w:caps w:val="0"/>
                <w:color w:val="47484C"/>
                <w:spacing w:val="0"/>
                <w:sz w:val="24"/>
                <w:szCs w:val="24"/>
                <w:bdr w:val="none" w:color="auto" w:sz="0" w:space="0"/>
              </w:rPr>
              <w:t>其他</w:t>
            </w:r>
          </w:p>
        </w:tc>
      </w:tr>
      <w:tr>
        <w:tblPrEx>
          <w:shd w:val="clear" w:color="auto" w:fill="FDFEFF"/>
          <w:tblLayout w:type="fixed"/>
          <w:tblCellMar>
            <w:top w:w="0" w:type="dxa"/>
            <w:left w:w="0" w:type="dxa"/>
            <w:bottom w:w="0" w:type="dxa"/>
            <w:right w:w="0" w:type="dxa"/>
          </w:tblCellMar>
        </w:tblPrEx>
        <w:trPr>
          <w:trHeight w:val="636" w:hRule="atLeast"/>
        </w:trPr>
        <w:tc>
          <w:tcPr>
            <w:tcW w:w="912" w:type="dxa"/>
            <w:tcBorders>
              <w:top w:val="nil"/>
              <w:left w:val="single" w:color="000000" w:sz="4" w:space="0"/>
              <w:bottom w:val="single" w:color="000000" w:sz="4" w:space="0"/>
              <w:right w:val="single" w:color="000000" w:sz="4" w:space="0"/>
            </w:tcBorders>
            <w:shd w:val="clear" w:color="auto" w:fill="FDFEFF"/>
            <w:tcMar>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96" w:right="0"/>
              <w:jc w:val="center"/>
              <w:rPr>
                <w:sz w:val="18"/>
                <w:szCs w:val="18"/>
              </w:rPr>
            </w:pPr>
            <w:r>
              <w:rPr>
                <w:rFonts w:ascii="方正仿宋_gbk" w:hAnsi="方正仿宋_gbk" w:eastAsia="方正仿宋_gbk" w:cs="方正仿宋_gbk"/>
                <w:i w:val="0"/>
                <w:caps w:val="0"/>
                <w:color w:val="47484C"/>
                <w:spacing w:val="0"/>
                <w:sz w:val="19"/>
                <w:szCs w:val="19"/>
                <w:bdr w:val="none" w:color="auto" w:sz="0" w:space="0"/>
              </w:rPr>
              <w:t>盐城市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96" w:right="0"/>
              <w:jc w:val="center"/>
              <w:rPr>
                <w:sz w:val="18"/>
                <w:szCs w:val="18"/>
              </w:rPr>
            </w:pPr>
            <w:r>
              <w:rPr>
                <w:rFonts w:hint="default" w:ascii="方正仿宋_gbk" w:hAnsi="方正仿宋_gbk" w:eastAsia="方正仿宋_gbk" w:cs="方正仿宋_gbk"/>
                <w:i w:val="0"/>
                <w:caps w:val="0"/>
                <w:color w:val="47484C"/>
                <w:spacing w:val="0"/>
                <w:sz w:val="19"/>
                <w:szCs w:val="19"/>
                <w:bdr w:val="none" w:color="auto" w:sz="0" w:space="0"/>
              </w:rPr>
              <w:t>贸促会</w:t>
            </w:r>
          </w:p>
        </w:tc>
        <w:tc>
          <w:tcPr>
            <w:tcW w:w="1104" w:type="dxa"/>
            <w:tcBorders>
              <w:top w:val="nil"/>
              <w:left w:val="nil"/>
              <w:bottom w:val="single" w:color="000000" w:sz="4" w:space="0"/>
              <w:right w:val="single" w:color="000000" w:sz="4" w:space="0"/>
            </w:tcBorders>
            <w:shd w:val="clear" w:color="auto" w:fill="FDFEFF"/>
            <w:tcMar>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sz w:val="18"/>
                <w:szCs w:val="18"/>
              </w:rPr>
            </w:pPr>
            <w:r>
              <w:rPr>
                <w:rFonts w:hint="default" w:ascii="方正仿宋_gbk" w:hAnsi="方正仿宋_gbk" w:eastAsia="方正仿宋_gbk" w:cs="方正仿宋_gbk"/>
                <w:i w:val="0"/>
                <w:caps w:val="0"/>
                <w:color w:val="47484C"/>
                <w:spacing w:val="0"/>
                <w:sz w:val="19"/>
                <w:szCs w:val="19"/>
                <w:bdr w:val="none" w:color="auto" w:sz="0" w:space="0"/>
              </w:rPr>
              <w:t>财务工作</w:t>
            </w:r>
          </w:p>
        </w:tc>
        <w:tc>
          <w:tcPr>
            <w:tcW w:w="636" w:type="dxa"/>
            <w:tcBorders>
              <w:top w:val="nil"/>
              <w:left w:val="nil"/>
              <w:bottom w:val="single" w:color="000000" w:sz="4" w:space="0"/>
              <w:right w:val="single" w:color="000000" w:sz="4" w:space="0"/>
            </w:tcBorders>
            <w:shd w:val="clear" w:color="auto" w:fill="FDFEFF"/>
            <w:tcMar>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sz w:val="18"/>
                <w:szCs w:val="18"/>
              </w:rPr>
            </w:pPr>
            <w:r>
              <w:rPr>
                <w:rFonts w:hint="default" w:ascii="Times New Roman" w:hAnsi="Times New Roman" w:eastAsia="宋体" w:cs="Times New Roman"/>
                <w:i w:val="0"/>
                <w:caps w:val="0"/>
                <w:color w:val="47484C"/>
                <w:spacing w:val="0"/>
                <w:sz w:val="19"/>
                <w:szCs w:val="19"/>
                <w:bdr w:val="none" w:color="auto" w:sz="0" w:space="0"/>
              </w:rPr>
              <w:t>1</w:t>
            </w:r>
          </w:p>
        </w:tc>
        <w:tc>
          <w:tcPr>
            <w:tcW w:w="1260" w:type="dxa"/>
            <w:tcBorders>
              <w:top w:val="nil"/>
              <w:left w:val="nil"/>
              <w:bottom w:val="single" w:color="000000" w:sz="4" w:space="0"/>
              <w:right w:val="single" w:color="000000" w:sz="4" w:space="0"/>
            </w:tcBorders>
            <w:shd w:val="clear" w:color="auto" w:fill="FDFEFF"/>
            <w:tcMar>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rPr>
                <w:sz w:val="18"/>
                <w:szCs w:val="18"/>
              </w:rPr>
            </w:pPr>
            <w:r>
              <w:rPr>
                <w:rFonts w:hint="default" w:ascii="方正仿宋_gbk" w:hAnsi="方正仿宋_gbk" w:eastAsia="方正仿宋_gbk" w:cs="方正仿宋_gbk"/>
                <w:i w:val="0"/>
                <w:caps w:val="0"/>
                <w:color w:val="47484C"/>
                <w:spacing w:val="0"/>
                <w:sz w:val="19"/>
                <w:szCs w:val="19"/>
                <w:bdr w:val="none" w:color="auto" w:sz="0" w:space="0"/>
              </w:rPr>
              <w:t>大学本科及以上学历</w:t>
            </w:r>
          </w:p>
        </w:tc>
        <w:tc>
          <w:tcPr>
            <w:tcW w:w="1140" w:type="dxa"/>
            <w:tcBorders>
              <w:top w:val="nil"/>
              <w:left w:val="nil"/>
              <w:bottom w:val="single" w:color="000000" w:sz="4" w:space="0"/>
              <w:right w:val="single" w:color="000000" w:sz="4" w:space="0"/>
            </w:tcBorders>
            <w:shd w:val="clear" w:color="auto" w:fill="FDFEFF"/>
            <w:tcMar>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rPr>
                <w:sz w:val="18"/>
                <w:szCs w:val="18"/>
              </w:rPr>
            </w:pPr>
            <w:r>
              <w:rPr>
                <w:rFonts w:hint="default" w:ascii="方正仿宋_gbk" w:hAnsi="方正仿宋_gbk" w:eastAsia="方正仿宋_gbk" w:cs="方正仿宋_gbk"/>
                <w:i w:val="0"/>
                <w:caps w:val="0"/>
                <w:color w:val="47484C"/>
                <w:spacing w:val="0"/>
                <w:sz w:val="19"/>
                <w:szCs w:val="19"/>
                <w:bdr w:val="none" w:color="auto" w:sz="0" w:space="0"/>
              </w:rPr>
              <w:t>财务财会类</w:t>
            </w:r>
          </w:p>
        </w:tc>
        <w:tc>
          <w:tcPr>
            <w:tcW w:w="1872" w:type="dxa"/>
            <w:tcBorders>
              <w:top w:val="nil"/>
              <w:left w:val="nil"/>
              <w:bottom w:val="single" w:color="000000" w:sz="4" w:space="0"/>
              <w:right w:val="single" w:color="000000" w:sz="4" w:space="0"/>
            </w:tcBorders>
            <w:shd w:val="clear" w:color="auto" w:fill="FDFEFF"/>
            <w:tcMar>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left"/>
              <w:rPr>
                <w:sz w:val="18"/>
                <w:szCs w:val="18"/>
              </w:rPr>
            </w:pPr>
            <w:r>
              <w:rPr>
                <w:rFonts w:hint="default" w:ascii="方正仿宋_gbk" w:hAnsi="方正仿宋_gbk" w:eastAsia="方正仿宋_gbk" w:cs="方正仿宋_gbk"/>
                <w:i w:val="0"/>
                <w:caps w:val="0"/>
                <w:color w:val="47484C"/>
                <w:spacing w:val="0"/>
                <w:sz w:val="19"/>
                <w:szCs w:val="19"/>
                <w:bdr w:val="none" w:color="auto" w:sz="0" w:space="0"/>
              </w:rPr>
              <w:t>取得相应学位，取得会计从业资格证书，两年以上财政国库集中支付和账务处理经验或者两年以上行政事业单位预决算编制经验。</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EFF"/>
        <w:spacing w:before="0" w:beforeAutospacing="0" w:after="0" w:afterAutospacing="0" w:line="444" w:lineRule="atLeast"/>
        <w:ind w:left="0" w:right="0" w:firstLine="0"/>
        <w:jc w:val="left"/>
        <w:rPr>
          <w:rFonts w:hint="eastAsia" w:ascii="宋体" w:hAnsi="宋体" w:eastAsia="宋体" w:cs="宋体"/>
          <w:i w:val="0"/>
          <w:caps w:val="0"/>
          <w:color w:val="47484C"/>
          <w:spacing w:val="0"/>
          <w:sz w:val="18"/>
          <w:szCs w:val="18"/>
        </w:rPr>
      </w:pPr>
      <w:r>
        <w:rPr>
          <w:rFonts w:hint="default" w:ascii="方正仿宋_gbk" w:hAnsi="方正仿宋_gbk" w:eastAsia="方正仿宋_gbk" w:cs="方正仿宋_gbk"/>
          <w:i w:val="0"/>
          <w:caps w:val="0"/>
          <w:color w:val="47484C"/>
          <w:spacing w:val="0"/>
          <w:sz w:val="25"/>
          <w:szCs w:val="25"/>
          <w:bdr w:val="none" w:color="auto" w:sz="0" w:space="0"/>
          <w:shd w:val="clear" w:fill="FDFEFF"/>
        </w:rPr>
        <w:t>工作经历计算时间截止到</w:t>
      </w:r>
      <w:r>
        <w:rPr>
          <w:rFonts w:hint="default" w:ascii="Times New Roman" w:hAnsi="Times New Roman" w:eastAsia="宋体" w:cs="Times New Roman"/>
          <w:i w:val="0"/>
          <w:caps w:val="0"/>
          <w:color w:val="000000"/>
          <w:spacing w:val="0"/>
          <w:sz w:val="25"/>
          <w:szCs w:val="25"/>
          <w:bdr w:val="none" w:color="auto" w:sz="0" w:space="0"/>
          <w:shd w:val="clear" w:fill="FDFEFF"/>
        </w:rPr>
        <w:t>2019</w:t>
      </w:r>
      <w:r>
        <w:rPr>
          <w:rFonts w:hint="default" w:ascii="方正仿宋_gbk" w:hAnsi="方正仿宋_gbk" w:eastAsia="方正仿宋_gbk" w:cs="方正仿宋_gbk"/>
          <w:i w:val="0"/>
          <w:caps w:val="0"/>
          <w:color w:val="000000"/>
          <w:spacing w:val="0"/>
          <w:sz w:val="25"/>
          <w:szCs w:val="25"/>
          <w:bdr w:val="none" w:color="auto" w:sz="0" w:space="0"/>
          <w:shd w:val="clear" w:fill="FDFEFF"/>
        </w:rPr>
        <w:t>年</w:t>
      </w:r>
      <w:r>
        <w:rPr>
          <w:rFonts w:hint="default" w:ascii="Times New Roman" w:hAnsi="Times New Roman" w:eastAsia="宋体" w:cs="Times New Roman"/>
          <w:i w:val="0"/>
          <w:caps w:val="0"/>
          <w:color w:val="000000"/>
          <w:spacing w:val="0"/>
          <w:sz w:val="25"/>
          <w:szCs w:val="25"/>
          <w:bdr w:val="none" w:color="auto" w:sz="0" w:space="0"/>
          <w:shd w:val="clear" w:fill="FDFEFF"/>
        </w:rPr>
        <w:t>5</w:t>
      </w:r>
      <w:r>
        <w:rPr>
          <w:rFonts w:hint="default" w:ascii="方正仿宋_gbk" w:hAnsi="方正仿宋_gbk" w:eastAsia="方正仿宋_gbk" w:cs="方正仿宋_gbk"/>
          <w:i w:val="0"/>
          <w:caps w:val="0"/>
          <w:color w:val="000000"/>
          <w:spacing w:val="0"/>
          <w:sz w:val="25"/>
          <w:szCs w:val="25"/>
          <w:bdr w:val="none" w:color="auto" w:sz="0" w:space="0"/>
          <w:shd w:val="clear" w:fill="FDFEFF"/>
        </w:rPr>
        <w:t>月</w:t>
      </w:r>
      <w:r>
        <w:rPr>
          <w:rFonts w:hint="default" w:ascii="Times New Roman" w:hAnsi="Times New Roman" w:eastAsia="宋体" w:cs="Times New Roman"/>
          <w:i w:val="0"/>
          <w:caps w:val="0"/>
          <w:color w:val="000000"/>
          <w:spacing w:val="0"/>
          <w:sz w:val="25"/>
          <w:szCs w:val="25"/>
          <w:bdr w:val="none" w:color="auto" w:sz="0" w:space="0"/>
          <w:shd w:val="clear" w:fill="FDFEFF"/>
        </w:rPr>
        <w:t>29</w:t>
      </w:r>
      <w:r>
        <w:rPr>
          <w:rFonts w:hint="default" w:ascii="方正仿宋_gbk" w:hAnsi="方正仿宋_gbk" w:eastAsia="方正仿宋_gbk" w:cs="方正仿宋_gbk"/>
          <w:i w:val="0"/>
          <w:caps w:val="0"/>
          <w:color w:val="000000"/>
          <w:spacing w:val="0"/>
          <w:sz w:val="25"/>
          <w:szCs w:val="25"/>
          <w:bdr w:val="none" w:color="auto" w:sz="0" w:space="0"/>
          <w:shd w:val="clear" w:fill="FDFEFF"/>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黑体_gbk">
    <w:altName w:val="黑体"/>
    <w:panose1 w:val="00000000000000000000"/>
    <w:charset w:val="00"/>
    <w:family w:val="auto"/>
    <w:pitch w:val="default"/>
    <w:sig w:usb0="00000000" w:usb1="00000000" w:usb2="00000000" w:usb3="00000000" w:csb0="00000000" w:csb1="00000000"/>
  </w:font>
  <w:font w:name="方正小标宋_gbk">
    <w:altName w:val="宋体"/>
    <w:panose1 w:val="00000000000000000000"/>
    <w:charset w:val="00"/>
    <w:family w:val="auto"/>
    <w:pitch w:val="default"/>
    <w:sig w:usb0="00000000" w:usb1="00000000" w:usb2="00000000" w:usb3="00000000" w:csb0="00000000" w:csb1="00000000"/>
  </w:font>
  <w:font w:name="方正仿宋_gbk">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436816"/>
    <w:rsid w:val="37436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2019-05-22T02:19:00Z</dcterms:created>
  <dc:creator>与爱飞翔</dc:creator>
  <cp:lastModifiedBy>与爱飞翔</cp:lastModifiedBy>
  <dcterms:modified xsi:type="dcterms:W3CDTF">2019-05-22T02:19:50Z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