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_GBK" w:cs="Times New Roman"/>
          <w:color w:val="000000"/>
          <w:sz w:val="44"/>
          <w:szCs w:val="44"/>
        </w:rPr>
      </w:pPr>
    </w:p>
    <w:p>
      <w:pPr>
        <w:pStyle w:val="7"/>
        <w:keepNext w:val="0"/>
        <w:keepLines w:val="0"/>
        <w:pageBreakBefore w:val="0"/>
        <w:kinsoku/>
        <w:wordWrap/>
        <w:overflowPunct/>
        <w:topLinePunct w:val="0"/>
        <w:autoSpaceDE/>
        <w:autoSpaceDN w:val="0"/>
        <w:bidi w:val="0"/>
        <w:adjustRightInd/>
        <w:spacing w:line="520" w:lineRule="exact"/>
        <w:textAlignment w:val="auto"/>
        <w:rPr>
          <w:rFonts w:hint="default" w:ascii="Times New Roman" w:hAnsi="Times New Roman" w:eastAsia="方正仿宋_GBK" w:cs="Times New Roman"/>
          <w:color w:val="000000"/>
          <w:sz w:val="32"/>
          <w:szCs w:val="32"/>
        </w:rPr>
      </w:pPr>
    </w:p>
    <w:p>
      <w:pPr>
        <w:spacing w:line="500" w:lineRule="exact"/>
        <w:jc w:val="left"/>
        <w:textAlignment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附件1</w:t>
      </w:r>
    </w:p>
    <w:p>
      <w:pPr>
        <w:pStyle w:val="7"/>
        <w:keepNext w:val="0"/>
        <w:keepLines w:val="0"/>
        <w:pageBreakBefore w:val="0"/>
        <w:kinsoku/>
        <w:wordWrap/>
        <w:overflowPunct/>
        <w:topLinePunct w:val="0"/>
        <w:autoSpaceDE/>
        <w:autoSpaceDN w:val="0"/>
        <w:bidi w:val="0"/>
        <w:adjustRightInd/>
        <w:spacing w:line="520" w:lineRule="exact"/>
        <w:ind w:firstLine="800" w:firstLineChars="200"/>
        <w:jc w:val="center"/>
        <w:textAlignment w:val="auto"/>
        <w:rPr>
          <w:rFonts w:hint="eastAsia"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rPr>
        <w:t>盐城市青少年活动中心20</w:t>
      </w:r>
      <w:r>
        <w:rPr>
          <w:rFonts w:hint="eastAsia" w:ascii="方正小标宋_GBK" w:hAnsi="方正小标宋_GBK" w:eastAsia="方正小标宋_GBK" w:cs="方正小标宋_GBK"/>
          <w:color w:val="000000"/>
          <w:sz w:val="40"/>
          <w:szCs w:val="40"/>
          <w:lang w:val="en-US" w:eastAsia="zh-CN"/>
        </w:rPr>
        <w:t>20</w:t>
      </w:r>
      <w:r>
        <w:rPr>
          <w:rFonts w:hint="eastAsia" w:ascii="方正小标宋_GBK" w:hAnsi="方正小标宋_GBK" w:eastAsia="方正小标宋_GBK" w:cs="方正小标宋_GBK"/>
          <w:color w:val="000000"/>
          <w:sz w:val="40"/>
          <w:szCs w:val="40"/>
        </w:rPr>
        <w:t>年公开选调工作人员岗位表</w:t>
      </w:r>
    </w:p>
    <w:p>
      <w:pPr>
        <w:spacing w:line="500" w:lineRule="exact"/>
        <w:jc w:val="left"/>
        <w:textAlignment w:val="center"/>
        <w:rPr>
          <w:rFonts w:hint="default" w:ascii="Times New Roman" w:hAnsi="Times New Roman" w:eastAsia="方正黑体_GBK" w:cs="Times New Roman"/>
          <w:color w:val="000000"/>
          <w:sz w:val="28"/>
          <w:szCs w:val="28"/>
        </w:rPr>
      </w:pPr>
    </w:p>
    <w:tbl>
      <w:tblPr>
        <w:tblStyle w:val="4"/>
        <w:tblW w:w="0" w:type="auto"/>
        <w:tblInd w:w="0" w:type="dxa"/>
        <w:shd w:val="clear" w:color="auto" w:fill="auto"/>
        <w:tblLayout w:type="autofit"/>
        <w:tblCellMar>
          <w:top w:w="0" w:type="dxa"/>
          <w:left w:w="0" w:type="dxa"/>
          <w:bottom w:w="0" w:type="dxa"/>
          <w:right w:w="0" w:type="dxa"/>
        </w:tblCellMar>
      </w:tblPr>
      <w:tblGrid>
        <w:gridCol w:w="502"/>
        <w:gridCol w:w="637"/>
        <w:gridCol w:w="435"/>
        <w:gridCol w:w="435"/>
        <w:gridCol w:w="502"/>
        <w:gridCol w:w="458"/>
        <w:gridCol w:w="312"/>
        <w:gridCol w:w="435"/>
        <w:gridCol w:w="888"/>
        <w:gridCol w:w="1404"/>
        <w:gridCol w:w="2181"/>
        <w:gridCol w:w="2427"/>
        <w:gridCol w:w="912"/>
        <w:gridCol w:w="2504"/>
      </w:tblGrid>
      <w:tr>
        <w:tblPrEx>
          <w:shd w:val="clear" w:color="auto" w:fill="auto"/>
          <w:tblCellMar>
            <w:top w:w="0" w:type="dxa"/>
            <w:left w:w="0" w:type="dxa"/>
            <w:bottom w:w="0" w:type="dxa"/>
            <w:right w:w="0"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主管部门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选调单位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选调岗位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选调</w:t>
            </w:r>
            <w:r>
              <w:rPr>
                <w:rFonts w:hint="eastAsia" w:ascii="方正黑体_GBK" w:hAnsi="方正黑体_GBK" w:eastAsia="方正黑体_GBK" w:cs="方正黑体_GBK"/>
                <w:i w:val="0"/>
                <w:color w:val="000000"/>
                <w:kern w:val="0"/>
                <w:sz w:val="22"/>
                <w:szCs w:val="22"/>
                <w:u w:val="none"/>
                <w:lang w:val="en-US" w:eastAsia="zh-CN" w:bidi="ar"/>
              </w:rPr>
              <w:br w:type="textWrapping"/>
            </w:r>
            <w:r>
              <w:rPr>
                <w:rFonts w:hint="eastAsia" w:ascii="方正黑体_GBK" w:hAnsi="方正黑体_GBK" w:eastAsia="方正黑体_GBK" w:cs="方正黑体_GBK"/>
                <w:i w:val="0"/>
                <w:color w:val="000000"/>
                <w:kern w:val="0"/>
                <w:sz w:val="22"/>
                <w:szCs w:val="22"/>
                <w:u w:val="none"/>
                <w:lang w:val="en-US" w:eastAsia="zh-CN" w:bidi="ar"/>
              </w:rPr>
              <w:t>人数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开考比例</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选调条件</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面试形式及所占比例</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其他说明</w:t>
            </w:r>
          </w:p>
        </w:tc>
      </w:tr>
      <w:tr>
        <w:tblPrEx>
          <w:shd w:val="clear" w:color="auto" w:fill="auto"/>
          <w:tblCellMar>
            <w:top w:w="0" w:type="dxa"/>
            <w:left w:w="0" w:type="dxa"/>
            <w:bottom w:w="0" w:type="dxa"/>
            <w:right w:w="0"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名  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经费来源</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岗位代码</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岗位</w:t>
            </w:r>
          </w:p>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岗位类别</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学历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专业</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其他条件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招聘对象</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lang w:eastAsia="zh-CN"/>
              </w:rPr>
            </w:pPr>
            <w:r>
              <w:rPr>
                <w:rFonts w:hint="eastAsia" w:ascii="方正仿宋_GBK" w:hAnsi="方正仿宋_GBK" w:eastAsia="方正仿宋_GBK" w:cs="方正仿宋_GBK"/>
                <w:i w:val="0"/>
                <w:color w:val="000000"/>
                <w:sz w:val="16"/>
                <w:szCs w:val="16"/>
                <w:u w:val="none"/>
                <w:lang w:eastAsia="zh-CN"/>
              </w:rPr>
              <w:t>共青团盐城市委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lang w:eastAsia="zh-CN"/>
              </w:rPr>
            </w:pPr>
            <w:r>
              <w:rPr>
                <w:rFonts w:hint="eastAsia" w:ascii="方正仿宋_GBK" w:hAnsi="方正仿宋_GBK" w:eastAsia="方正仿宋_GBK" w:cs="方正仿宋_GBK"/>
                <w:i w:val="0"/>
                <w:color w:val="000000"/>
                <w:sz w:val="16"/>
                <w:szCs w:val="16"/>
                <w:u w:val="none"/>
                <w:lang w:eastAsia="zh-CN"/>
              </w:rPr>
              <w:t>盐城市青少年活动中心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lang w:eastAsia="zh-CN"/>
              </w:rPr>
            </w:pPr>
            <w:r>
              <w:rPr>
                <w:rFonts w:hint="eastAsia" w:ascii="方正仿宋_GBK" w:hAnsi="方正仿宋_GBK" w:eastAsia="方正仿宋_GBK" w:cs="方正仿宋_GBK"/>
                <w:i w:val="0"/>
                <w:color w:val="000000"/>
                <w:sz w:val="16"/>
                <w:szCs w:val="16"/>
                <w:u w:val="none"/>
                <w:lang w:eastAsia="zh-CN"/>
              </w:rPr>
              <w:t>全额拨款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lang w:val="en-US" w:eastAsia="zh-CN"/>
              </w:rPr>
            </w:pPr>
            <w:r>
              <w:rPr>
                <w:rFonts w:hint="eastAsia" w:ascii="方正仿宋_GBK" w:hAnsi="方正仿宋_GBK" w:eastAsia="方正仿宋_GBK" w:cs="方正仿宋_GBK"/>
                <w:i w:val="0"/>
                <w:color w:val="000000"/>
                <w:sz w:val="16"/>
                <w:szCs w:val="16"/>
                <w:u w:val="none"/>
                <w:lang w:val="en-US" w:eastAsia="zh-CN"/>
              </w:rPr>
              <w:t>活动部工作人员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lang w:eastAsia="zh-CN"/>
              </w:rPr>
            </w:pPr>
            <w:r>
              <w:rPr>
                <w:rFonts w:hint="eastAsia" w:ascii="方正仿宋_GBK" w:hAnsi="方正仿宋_GBK" w:eastAsia="方正仿宋_GBK" w:cs="方正仿宋_GBK"/>
                <w:i w:val="0"/>
                <w:color w:val="000000"/>
                <w:sz w:val="16"/>
                <w:szCs w:val="16"/>
                <w:u w:val="none"/>
                <w:lang w:eastAsia="zh-CN"/>
              </w:rPr>
              <w:t>专业技术岗位</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i w:val="0"/>
                <w:color w:val="000000"/>
                <w:sz w:val="16"/>
                <w:szCs w:val="16"/>
                <w:u w:val="none"/>
                <w:lang w:val="en-US" w:eastAsia="zh-CN"/>
              </w:rPr>
            </w:pPr>
            <w:r>
              <w:rPr>
                <w:rFonts w:hint="eastAsia" w:ascii="Times New Roman" w:hAnsi="Times New Roman" w:eastAsia="宋体" w:cs="Times New Roman"/>
                <w:i w:val="0"/>
                <w:color w:val="000000"/>
                <w:sz w:val="16"/>
                <w:szCs w:val="16"/>
                <w:u w:val="none"/>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lang w:val="en-US" w:eastAsia="zh-CN"/>
              </w:rPr>
            </w:pPr>
            <w:r>
              <w:rPr>
                <w:rFonts w:hint="eastAsia" w:ascii="Times New Roman" w:hAnsi="Times New Roman" w:eastAsia="宋体" w:cs="Times New Roman"/>
                <w:i w:val="0"/>
                <w:color w:val="000000"/>
                <w:sz w:val="16"/>
                <w:szCs w:val="16"/>
                <w:u w:val="none"/>
                <w:lang w:val="en-US"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lang w:eastAsia="zh-CN"/>
              </w:rPr>
            </w:pPr>
            <w:r>
              <w:rPr>
                <w:rFonts w:hint="eastAsia" w:ascii="方正仿宋_GBK" w:hAnsi="方正仿宋_GBK" w:eastAsia="方正仿宋_GBK" w:cs="方正仿宋_GBK"/>
                <w:i w:val="0"/>
                <w:color w:val="000000"/>
                <w:sz w:val="16"/>
                <w:szCs w:val="16"/>
                <w:u w:val="none"/>
                <w:lang w:eastAsia="zh-CN"/>
              </w:rPr>
              <w:t>本科及以上学历，取得相应学位</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lang w:eastAsia="zh-CN"/>
              </w:rPr>
            </w:pPr>
            <w:r>
              <w:rPr>
                <w:rFonts w:hint="eastAsia" w:ascii="方正仿宋_GBK" w:hAnsi="方正仿宋_GBK" w:eastAsia="方正仿宋_GBK" w:cs="方正仿宋_GBK"/>
                <w:i w:val="0"/>
                <w:color w:val="000000"/>
                <w:sz w:val="16"/>
                <w:szCs w:val="16"/>
                <w:u w:val="none"/>
                <w:lang w:eastAsia="zh-CN"/>
              </w:rPr>
              <w:t>《江苏省</w:t>
            </w:r>
            <w:r>
              <w:rPr>
                <w:rFonts w:hint="default" w:ascii="Times New Roman" w:hAnsi="Times New Roman" w:eastAsia="方正仿宋_GBK" w:cs="Times New Roman"/>
                <w:i w:val="0"/>
                <w:color w:val="000000"/>
                <w:sz w:val="16"/>
                <w:szCs w:val="16"/>
                <w:u w:val="none"/>
                <w:lang w:val="en-US" w:eastAsia="zh-CN"/>
              </w:rPr>
              <w:t>2020</w:t>
            </w:r>
            <w:r>
              <w:rPr>
                <w:rFonts w:hint="eastAsia" w:ascii="方正仿宋_GBK" w:hAnsi="方正仿宋_GBK" w:eastAsia="方正仿宋_GBK" w:cs="方正仿宋_GBK"/>
                <w:i w:val="0"/>
                <w:color w:val="000000"/>
                <w:sz w:val="16"/>
                <w:szCs w:val="16"/>
                <w:u w:val="none"/>
                <w:lang w:val="en-US" w:eastAsia="zh-CN"/>
              </w:rPr>
              <w:t>年度考试录用公务员专业参考目录</w:t>
            </w:r>
            <w:r>
              <w:rPr>
                <w:rFonts w:hint="eastAsia" w:ascii="方正仿宋_GBK" w:hAnsi="方正仿宋_GBK" w:eastAsia="方正仿宋_GBK" w:cs="方正仿宋_GBK"/>
                <w:i w:val="0"/>
                <w:color w:val="000000"/>
                <w:sz w:val="16"/>
                <w:szCs w:val="16"/>
                <w:u w:val="none"/>
                <w:lang w:eastAsia="zh-CN"/>
              </w:rPr>
              <w:t>》教育类</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1"/>
              </w:numPr>
              <w:jc w:val="left"/>
              <w:rPr>
                <w:rFonts w:hint="default" w:ascii="Times New Roman" w:hAnsi="Times New Roman" w:eastAsia="方正仿宋_GBK" w:cs="Times New Roman"/>
                <w:i w:val="0"/>
                <w:color w:val="000000"/>
                <w:sz w:val="16"/>
                <w:szCs w:val="16"/>
                <w:u w:val="none"/>
                <w:lang w:eastAsia="zh-CN"/>
              </w:rPr>
            </w:pPr>
            <w:r>
              <w:rPr>
                <w:rFonts w:hint="default" w:ascii="Times New Roman" w:hAnsi="Times New Roman" w:eastAsia="方正仿宋_GBK" w:cs="Times New Roman"/>
                <w:i w:val="0"/>
                <w:color w:val="000000"/>
                <w:sz w:val="16"/>
                <w:szCs w:val="16"/>
                <w:u w:val="none"/>
                <w:lang w:val="en-US" w:eastAsia="zh-CN"/>
              </w:rPr>
              <w:t>35周岁及以下（198</w:t>
            </w:r>
            <w:r>
              <w:rPr>
                <w:rFonts w:hint="eastAsia" w:ascii="Times New Roman" w:hAnsi="Times New Roman" w:eastAsia="方正仿宋_GBK" w:cs="Times New Roman"/>
                <w:i w:val="0"/>
                <w:color w:val="000000"/>
                <w:sz w:val="16"/>
                <w:szCs w:val="16"/>
                <w:u w:val="none"/>
                <w:lang w:val="en-US" w:eastAsia="zh-CN"/>
              </w:rPr>
              <w:t>5</w:t>
            </w:r>
            <w:r>
              <w:rPr>
                <w:rFonts w:hint="default" w:ascii="Times New Roman" w:hAnsi="Times New Roman" w:eastAsia="方正仿宋_GBK" w:cs="Times New Roman"/>
                <w:i w:val="0"/>
                <w:color w:val="000000"/>
                <w:sz w:val="16"/>
                <w:szCs w:val="16"/>
                <w:u w:val="none"/>
                <w:lang w:val="en-US" w:eastAsia="zh-CN"/>
              </w:rPr>
              <w:t>年</w:t>
            </w:r>
            <w:r>
              <w:rPr>
                <w:rFonts w:hint="eastAsia" w:ascii="Times New Roman" w:hAnsi="Times New Roman" w:eastAsia="方正仿宋_GBK" w:cs="Times New Roman"/>
                <w:i w:val="0"/>
                <w:color w:val="000000"/>
                <w:sz w:val="16"/>
                <w:szCs w:val="16"/>
                <w:u w:val="none"/>
                <w:lang w:val="en-US" w:eastAsia="zh-CN"/>
              </w:rPr>
              <w:t>1</w:t>
            </w:r>
            <w:r>
              <w:rPr>
                <w:rFonts w:hint="default" w:ascii="Times New Roman" w:hAnsi="Times New Roman" w:eastAsia="方正仿宋_GBK" w:cs="Times New Roman"/>
                <w:i w:val="0"/>
                <w:color w:val="000000"/>
                <w:sz w:val="16"/>
                <w:szCs w:val="16"/>
                <w:u w:val="none"/>
                <w:lang w:val="en-US" w:eastAsia="zh-CN"/>
              </w:rPr>
              <w:t>月1日</w:t>
            </w:r>
            <w:r>
              <w:rPr>
                <w:rFonts w:hint="eastAsia" w:ascii="Times New Roman" w:hAnsi="Times New Roman" w:eastAsia="方正仿宋_GBK" w:cs="Times New Roman"/>
                <w:i w:val="0"/>
                <w:color w:val="000000"/>
                <w:sz w:val="16"/>
                <w:szCs w:val="16"/>
                <w:u w:val="none"/>
                <w:lang w:val="en-US" w:eastAsia="zh-CN"/>
              </w:rPr>
              <w:t>及</w:t>
            </w:r>
            <w:r>
              <w:rPr>
                <w:rFonts w:hint="default" w:ascii="Times New Roman" w:hAnsi="Times New Roman" w:eastAsia="方正仿宋_GBK" w:cs="Times New Roman"/>
                <w:i w:val="0"/>
                <w:color w:val="000000"/>
                <w:sz w:val="16"/>
                <w:szCs w:val="16"/>
                <w:u w:val="none"/>
                <w:lang w:val="en-US" w:eastAsia="zh-CN"/>
              </w:rPr>
              <w:t>以后出生）</w:t>
            </w:r>
            <w:r>
              <w:rPr>
                <w:rFonts w:hint="default" w:ascii="Times New Roman" w:hAnsi="Times New Roman" w:eastAsia="方正仿宋_GBK" w:cs="Times New Roman"/>
                <w:i w:val="0"/>
                <w:color w:val="000000"/>
                <w:sz w:val="16"/>
                <w:szCs w:val="16"/>
                <w:u w:val="none"/>
                <w:lang w:eastAsia="zh-CN"/>
              </w:rPr>
              <w:t>；</w:t>
            </w:r>
          </w:p>
          <w:p>
            <w:pPr>
              <w:jc w:val="left"/>
              <w:rPr>
                <w:rFonts w:hint="eastAsia" w:ascii="方正仿宋_GBK" w:hAnsi="方正仿宋_GBK" w:eastAsia="方正仿宋_GBK" w:cs="方正仿宋_GBK"/>
                <w:i w:val="0"/>
                <w:color w:val="000000"/>
                <w:sz w:val="16"/>
                <w:szCs w:val="16"/>
                <w:u w:val="none"/>
              </w:rPr>
            </w:pPr>
            <w:r>
              <w:rPr>
                <w:rFonts w:hint="default" w:ascii="Times New Roman" w:hAnsi="Times New Roman" w:eastAsia="方正仿宋_GBK" w:cs="Times New Roman"/>
                <w:i w:val="0"/>
                <w:color w:val="000000"/>
                <w:sz w:val="16"/>
                <w:szCs w:val="16"/>
                <w:u w:val="none"/>
                <w:lang w:eastAsia="zh-CN"/>
              </w:rPr>
              <w:t>2.</w:t>
            </w:r>
            <w:r>
              <w:rPr>
                <w:rFonts w:hint="eastAsia" w:ascii="Times New Roman" w:hAnsi="Times New Roman" w:eastAsia="方正仿宋_GBK" w:cs="Times New Roman"/>
                <w:i w:val="0"/>
                <w:color w:val="000000"/>
                <w:sz w:val="16"/>
                <w:szCs w:val="16"/>
                <w:u w:val="none"/>
                <w:lang w:val="en-US" w:eastAsia="zh-CN"/>
              </w:rPr>
              <w:t xml:space="preserve"> </w:t>
            </w:r>
            <w:r>
              <w:rPr>
                <w:rFonts w:hint="default" w:ascii="Times New Roman" w:hAnsi="Times New Roman" w:eastAsia="方正仿宋_GBK" w:cs="Times New Roman"/>
                <w:i w:val="0"/>
                <w:color w:val="000000"/>
                <w:sz w:val="16"/>
                <w:szCs w:val="16"/>
                <w:u w:val="none"/>
                <w:lang w:eastAsia="zh-CN"/>
              </w:rPr>
              <w:t>具有</w:t>
            </w:r>
            <w:r>
              <w:rPr>
                <w:rFonts w:hint="default" w:ascii="Times New Roman" w:hAnsi="Times New Roman" w:eastAsia="方正仿宋_GBK" w:cs="Times New Roman"/>
                <w:i w:val="0"/>
                <w:color w:val="000000"/>
                <w:sz w:val="16"/>
                <w:szCs w:val="16"/>
                <w:u w:val="none"/>
                <w:lang w:val="en-US" w:eastAsia="zh-CN"/>
              </w:rPr>
              <w:t>2</w:t>
            </w:r>
            <w:r>
              <w:rPr>
                <w:rFonts w:hint="default" w:ascii="Times New Roman" w:hAnsi="Times New Roman" w:eastAsia="方正仿宋_GBK" w:cs="Times New Roman"/>
                <w:i w:val="0"/>
                <w:color w:val="000000"/>
                <w:sz w:val="16"/>
                <w:szCs w:val="16"/>
                <w:u w:val="none"/>
                <w:lang w:eastAsia="zh-CN"/>
              </w:rPr>
              <w:t>年及以上机关事业单位相关工作经历，且年度考核均为称职（合格）及以上等次</w:t>
            </w:r>
            <w:r>
              <w:rPr>
                <w:rFonts w:hint="default" w:ascii="Times New Roman" w:hAnsi="Times New Roman" w:eastAsia="方正仿宋_GBK" w:cs="Times New Roman"/>
                <w:i w:val="0"/>
                <w:color w:val="000000"/>
                <w:sz w:val="16"/>
                <w:szCs w:val="16"/>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lang w:val="en-US" w:eastAsia="zh-CN"/>
              </w:rPr>
            </w:pPr>
            <w:r>
              <w:rPr>
                <w:rFonts w:hint="eastAsia" w:ascii="方正仿宋_GBK" w:hAnsi="方正仿宋_GBK" w:eastAsia="方正仿宋_GBK" w:cs="方正仿宋_GBK"/>
                <w:i w:val="0"/>
                <w:color w:val="000000"/>
                <w:sz w:val="16"/>
                <w:szCs w:val="16"/>
                <w:u w:val="none"/>
              </w:rPr>
              <w:t>全市各级机关在编在岗公务员（含参公人员）、全市全额拨款事业单位在编在岗工作人员（工勤人员除外）。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i w:val="0"/>
                <w:color w:val="000000"/>
                <w:sz w:val="16"/>
                <w:szCs w:val="16"/>
                <w:u w:val="none"/>
                <w:lang w:val="en-US" w:eastAsia="zh-CN"/>
              </w:rPr>
            </w:pPr>
            <w:r>
              <w:rPr>
                <w:rFonts w:hint="eastAsia" w:ascii="方正仿宋_GBK" w:hAnsi="方正仿宋_GBK" w:eastAsia="方正仿宋_GBK" w:cs="方正仿宋_GBK"/>
                <w:i w:val="0"/>
                <w:color w:val="000000"/>
                <w:sz w:val="16"/>
                <w:szCs w:val="16"/>
                <w:u w:val="none"/>
                <w:lang w:eastAsia="zh-CN"/>
              </w:rPr>
              <w:t>结构化面试，占比</w:t>
            </w:r>
            <w:r>
              <w:rPr>
                <w:rFonts w:hint="default" w:ascii="Times New Roman" w:hAnsi="Times New Roman" w:eastAsia="方正仿宋_GBK" w:cs="Times New Roman"/>
                <w:i w:val="0"/>
                <w:color w:val="000000"/>
                <w:sz w:val="16"/>
                <w:szCs w:val="16"/>
                <w:u w:val="none"/>
                <w:lang w:val="en-US" w:eastAsia="zh-CN"/>
              </w:rPr>
              <w:t>50%</w:t>
            </w:r>
            <w:r>
              <w:rPr>
                <w:rFonts w:hint="eastAsia" w:ascii="方正仿宋_GBK" w:hAnsi="方正仿宋_GBK" w:eastAsia="方正仿宋_GBK" w:cs="方正仿宋_GBK"/>
                <w:i w:val="0"/>
                <w:color w:val="000000"/>
                <w:sz w:val="16"/>
                <w:szCs w:val="16"/>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sz w:val="16"/>
                <w:szCs w:val="16"/>
                <w:u w:val="none"/>
                <w:lang w:val="en-US" w:eastAsia="zh-CN"/>
              </w:rPr>
              <w:t>人员一经选调后即按照选调单位人员性质和岗位聘用管理的有关规定进行管理，不再保留原身份和原聘岗位待遇。</w:t>
            </w:r>
          </w:p>
        </w:tc>
      </w:tr>
    </w:tbl>
    <w:p>
      <w:pPr>
        <w:rPr>
          <w:rFonts w:hint="default" w:ascii="Times New Roman" w:hAnsi="Times New Roman" w:cs="Times New Roman"/>
          <w:color w:val="000000"/>
        </w:rPr>
        <w:sectPr>
          <w:headerReference r:id="rId3" w:type="default"/>
          <w:footerReference r:id="rId4" w:type="default"/>
          <w:pgSz w:w="16838" w:h="11906" w:orient="landscape"/>
          <w:pgMar w:top="1418" w:right="1418" w:bottom="1588" w:left="1418" w:header="851" w:footer="1304" w:gutter="0"/>
          <w:cols w:space="720" w:num="1"/>
          <w:docGrid w:type="lines" w:linePitch="312" w:charSpace="0"/>
        </w:sectPr>
      </w:pPr>
      <w:bookmarkStart w:id="0" w:name="_GoBack"/>
      <w:bookmarkEnd w:id="0"/>
    </w:p>
    <w:p>
      <w:pPr>
        <w:snapToGrid w:val="0"/>
        <w:rPr>
          <w:rFonts w:hint="eastAsia" w:ascii="Times New Roman" w:hAnsi="Times New Roman" w:eastAsia="仿宋" w:cs="Times New Roman"/>
          <w:sz w:val="32"/>
          <w:szCs w:val="32"/>
          <w:lang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BE405B18-EF33-492A-BAC0-E22A9E317107}"/>
  </w:font>
  <w:font w:name="方正小标宋_GBK">
    <w:panose1 w:val="03000509000000000000"/>
    <w:charset w:val="86"/>
    <w:family w:val="script"/>
    <w:pitch w:val="default"/>
    <w:sig w:usb0="00000001" w:usb1="080E0000" w:usb2="00000000" w:usb3="00000000" w:csb0="00040000" w:csb1="00000000"/>
    <w:embedRegular r:id="rId2" w:fontKey="{E0F301BE-084D-4378-A79E-2F1B975703B9}"/>
  </w:font>
  <w:font w:name="方正仿宋_GBK">
    <w:panose1 w:val="03000509000000000000"/>
    <w:charset w:val="86"/>
    <w:family w:val="script"/>
    <w:pitch w:val="default"/>
    <w:sig w:usb0="00000001" w:usb1="080E0000" w:usb2="00000000" w:usb3="00000000" w:csb0="00040000" w:csb1="00000000"/>
    <w:embedRegular r:id="rId3" w:fontKey="{2FFA463A-D8C9-4B87-8AA4-27B4166AAEA0}"/>
  </w:font>
  <w:font w:name="仿宋">
    <w:panose1 w:val="02010609060101010101"/>
    <w:charset w:val="86"/>
    <w:family w:val="auto"/>
    <w:pitch w:val="default"/>
    <w:sig w:usb0="800002BF" w:usb1="38CF7CFA" w:usb2="00000016" w:usb3="00000000" w:csb0="00040001" w:csb1="00000000"/>
    <w:embedRegular r:id="rId4" w:fontKey="{D5A3EC77-8ED8-4359-86BC-2C0DCE514C8C}"/>
  </w:font>
  <w:font w:name="方正黑体_GBK">
    <w:panose1 w:val="03000509000000000000"/>
    <w:charset w:val="86"/>
    <w:family w:val="script"/>
    <w:pitch w:val="default"/>
    <w:sig w:usb0="00000001" w:usb1="080E0000" w:usb2="00000000" w:usb3="00000000" w:csb0="00040000" w:csb1="00000000"/>
    <w:embedRegular r:id="rId5" w:fontKey="{3C676B02-F462-4994-9D43-10E0D8507FB9}"/>
  </w:font>
  <w:font w:name="方正楷体_GBK">
    <w:panose1 w:val="03000509000000000000"/>
    <w:charset w:val="86"/>
    <w:family w:val="script"/>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宋体" w:hAnsi="宋体"/>
        <w:sz w:val="28"/>
      </w:rPr>
    </w:pPr>
    <w:r>
      <w:rPr>
        <w:rStyle w:val="6"/>
        <w:rFonts w:hint="eastAsia" w:ascii="宋体" w:hAnsi="宋体"/>
        <w:color w:val="FFFFFF"/>
        <w:sz w:val="28"/>
      </w:rPr>
      <w:t>□</w:t>
    </w:r>
    <w:r>
      <w:rPr>
        <w:rStyle w:val="6"/>
        <w:rFonts w:hint="eastAsia" w:ascii="宋体" w:hAnsi="宋体"/>
        <w:sz w:val="28"/>
      </w:rPr>
      <w:t xml:space="preserve">— </w:t>
    </w:r>
    <w:r>
      <w:rPr>
        <w:rFonts w:ascii="Times New Roman" w:hAnsi="Times New Roman"/>
        <w:sz w:val="28"/>
      </w:rPr>
      <w:fldChar w:fldCharType="begin"/>
    </w:r>
    <w:r>
      <w:rPr>
        <w:rStyle w:val="6"/>
        <w:rFonts w:ascii="Times New Roman" w:hAnsi="Times New Roman"/>
        <w:sz w:val="28"/>
      </w:rPr>
      <w:instrText xml:space="preserve">PAGE  </w:instrText>
    </w:r>
    <w:r>
      <w:rPr>
        <w:rFonts w:ascii="Times New Roman" w:hAnsi="Times New Roman"/>
        <w:sz w:val="28"/>
      </w:rPr>
      <w:fldChar w:fldCharType="separate"/>
    </w:r>
    <w:r>
      <w:rPr>
        <w:rStyle w:val="6"/>
        <w:rFonts w:ascii="Times New Roman" w:hAnsi="Times New Roman"/>
        <w:sz w:val="28"/>
      </w:rPr>
      <w:t>19</w:t>
    </w:r>
    <w:r>
      <w:rPr>
        <w:rFonts w:ascii="Times New Roman" w:hAnsi="Times New Roman"/>
        <w:sz w:val="28"/>
      </w:rPr>
      <w:fldChar w:fldCharType="end"/>
    </w:r>
    <w:r>
      <w:rPr>
        <w:rStyle w:val="6"/>
        <w:rFonts w:hint="eastAsia" w:ascii="宋体" w:hAnsi="宋体"/>
        <w:sz w:val="28"/>
      </w:rPr>
      <w:t xml:space="preserve"> —</w:t>
    </w:r>
    <w:r>
      <w:rPr>
        <w:rStyle w:val="6"/>
        <w:rFonts w:hint="eastAsia" w:ascii="宋体" w:hAnsi="宋体"/>
        <w:color w:val="FFFFFF"/>
        <w:sz w:val="28"/>
      </w:rPr>
      <w:t>□</w:t>
    </w:r>
  </w:p>
  <w:p>
    <w:pPr>
      <w:pStyle w:val="2"/>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BA4BE8"/>
    <w:multiLevelType w:val="singleLevel"/>
    <w:tmpl w:val="99BA4BE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001F5"/>
    <w:rsid w:val="001E342F"/>
    <w:rsid w:val="04BC06A6"/>
    <w:rsid w:val="0BC23D77"/>
    <w:rsid w:val="10587941"/>
    <w:rsid w:val="23F30EE2"/>
    <w:rsid w:val="2652795E"/>
    <w:rsid w:val="296A2920"/>
    <w:rsid w:val="2BC00127"/>
    <w:rsid w:val="33B001F5"/>
    <w:rsid w:val="3E9B4BEE"/>
    <w:rsid w:val="3EAE7740"/>
    <w:rsid w:val="451144A4"/>
    <w:rsid w:val="48E86068"/>
    <w:rsid w:val="4C0164A2"/>
    <w:rsid w:val="512576A4"/>
    <w:rsid w:val="54564375"/>
    <w:rsid w:val="75454C24"/>
    <w:rsid w:val="7F361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paragraph" w:customStyle="1" w:styleId="7">
    <w:name w:val="p0"/>
    <w:basedOn w:val="1"/>
    <w:qFormat/>
    <w:uiPriority w:val="0"/>
    <w:pPr>
      <w:widowControl/>
    </w:pPr>
    <w:rPr>
      <w:rFonts w:cs="宋体"/>
      <w:kern w:val="0"/>
      <w:szCs w:val="21"/>
    </w:rPr>
  </w:style>
  <w:style w:type="paragraph" w:customStyle="1" w:styleId="8">
    <w:name w:val="p16"/>
    <w:basedOn w:val="1"/>
    <w:qFormat/>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2020-05-13T09:18:00Z</dcterms:created>
  <dc:creator>҉҉҉҉҉҉  SIG</dc:creator>
  <cp:lastModifiedBy>҉҉҉҉҉҉  SIG</cp:lastModifiedBy>
  <cp:lastPrinted>2020-05-19T01:33:00Z</cp:lastPrinted>
  <dcterms:modified xsi:type="dcterms:W3CDTF">2020-05-19T10:03:54Z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