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2020年盐城市自来水有限公司公开招聘</w:t>
      </w:r>
      <w:r>
        <w:rPr>
          <w:rFonts w:hint="eastAsia" w:ascii="黑体" w:hAnsi="黑体" w:eastAsia="黑体"/>
          <w:sz w:val="36"/>
          <w:szCs w:val="36"/>
          <w:lang w:eastAsia="zh-CN"/>
        </w:rPr>
        <w:t>专业人员</w:t>
      </w:r>
      <w:r>
        <w:rPr>
          <w:rFonts w:hint="eastAsia" w:ascii="黑体" w:hAnsi="黑体" w:eastAsia="黑体"/>
          <w:sz w:val="36"/>
          <w:szCs w:val="36"/>
        </w:rPr>
        <w:t>岗位表</w:t>
      </w:r>
    </w:p>
    <w:bookmarkEnd w:id="0"/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</w:t>
      </w:r>
    </w:p>
    <w:tbl>
      <w:tblPr>
        <w:tblStyle w:val="2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987"/>
        <w:gridCol w:w="519"/>
        <w:gridCol w:w="635"/>
        <w:gridCol w:w="669"/>
        <w:gridCol w:w="510"/>
        <w:gridCol w:w="587"/>
        <w:gridCol w:w="3946"/>
        <w:gridCol w:w="2478"/>
        <w:gridCol w:w="717"/>
        <w:gridCol w:w="952"/>
        <w:gridCol w:w="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</w:trPr>
        <w:tc>
          <w:tcPr>
            <w:tcW w:w="13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招聘 岗位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计划数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开考比例</w:t>
            </w:r>
          </w:p>
        </w:tc>
        <w:tc>
          <w:tcPr>
            <w:tcW w:w="7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面试形式及所占比例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名  称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经费来源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岗位 名称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学历 学位</w:t>
            </w: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专     业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招聘对象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生产管理员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4人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全日制本科及以上，具有相应学位</w:t>
            </w: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 xml:space="preserve">给水排水工程、给排水科学与工程、给水排水、给排水工程、水务工程 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年龄：1990年1月1日之后出生，能适应岗位需要。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机电维修工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4人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机电一体化、机电一体化技术、机电设备维修与管理、电气设备应用与维护、电气工程及其自动化、电气工程与自动化、工业电气自动化、电气自动化、自动化、工业自动化、电气工程与智能控制机械设计与制造、机械制造与自动化、机械制造及自动化、机械设计制造及自动化、机械设计制造及其自动化、机械工程及自动化、机械工程及其自动化、机械工程</w:t>
            </w:r>
          </w:p>
        </w:tc>
        <w:tc>
          <w:tcPr>
            <w:tcW w:w="24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计算机软件维护、网络管理员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2人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全日制本科及以上，具有相应学位</w:t>
            </w: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计算机（软件）类、计算机（网络管理）类、计算机（大类）类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年龄：1990年1月1日之后出生，能适应岗位需要。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水质检测分析员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化学工程类</w:t>
            </w:r>
          </w:p>
        </w:tc>
        <w:tc>
          <w:tcPr>
            <w:tcW w:w="24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工程管理员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建筑工程类</w:t>
            </w:r>
          </w:p>
        </w:tc>
        <w:tc>
          <w:tcPr>
            <w:tcW w:w="24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市场营销员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2人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商务贸易类</w:t>
            </w:r>
          </w:p>
        </w:tc>
        <w:tc>
          <w:tcPr>
            <w:tcW w:w="24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计量管理工程师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全日制本科及以上，具有相应学位</w:t>
            </w: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仪表仪器及测试技术类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1、具有相应专业高级工程师职称；2、有五年以上相关工作经历；3、具有二级以上注册计量师执业资格证书；4、年龄：1980年1月1日之后出生，能适应岗位压力。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自动控制工程师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机电一体化、机电一体化技术、机电设备维修与管理、电气设备应用与维护、电气工程及其自动化、电气工程与自动化、工业电气自动化、电气自动化、自动化、工业自动化、电气工程与智能控制机械设计与制造、机械制造与自动化、机械制造及自动化、机械设计制造及自动化、机械设计制造及其自动化、机械工程及自动化、机械工程及其自动化、机械工程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1、具有相应专业高级工程师职称；2、有五年以上相关工作经历；3、年龄：1980年1月1日之后出生，能适应岗位压力。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信息管理工程师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计算机（软件）类、计算机（网络管理）类、计算机（大类）类、电子信息类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1、具有相应专业高级工程师职称；2、有五年以上相关工作经历；3、年龄：1980年1月1日之后出生，能适应岗位压力。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市城投集团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市自来水有限公司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国有企业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工程管理工程师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全日制本科及以上，具有相应学位</w:t>
            </w:r>
          </w:p>
        </w:tc>
        <w:tc>
          <w:tcPr>
            <w:tcW w:w="39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建筑工程类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1、具有相应专业高级工程师职称；2、有五年以上相关工作经历；3、具有市政专业一级建造师执业资格证书。4、年龄：1980年1月1日之后出生，能适应岗位压力。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75CDB"/>
    <w:rsid w:val="3B275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2020-09-04T01:48:00Z</dcterms:created>
  <dc:creator>Administrator</dc:creator>
  <cp:lastModifiedBy>Administrator</cp:lastModifiedBy>
  <dcterms:modified xsi:type="dcterms:W3CDTF">2020-09-04T01:48:48Z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