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方正黑体_GBK" w:hAnsi="方正黑体_GBK" w:eastAsia="方正黑体_GBK" w:cs="方正黑体_GBK"/>
          <w:bCs/>
          <w:color w:val="000000"/>
          <w:kern w:val="0"/>
          <w:sz w:val="24"/>
        </w:rPr>
      </w:pPr>
      <w:bookmarkStart w:id="0" w:name="_Hlk74732985"/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24"/>
        </w:rPr>
        <w:t>附件：</w:t>
      </w:r>
    </w:p>
    <w:bookmarkEnd w:id="0"/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2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2"/>
          <w:szCs w:val="44"/>
        </w:rPr>
        <w:t>江苏省盐城市面向全国部分高校和世界前2</w:t>
      </w:r>
      <w:r>
        <w:rPr>
          <w:rFonts w:ascii="方正小标宋简体" w:hAnsi="宋体" w:eastAsia="方正小标宋简体" w:cs="宋体"/>
          <w:bCs/>
          <w:color w:val="000000"/>
          <w:kern w:val="0"/>
          <w:sz w:val="42"/>
          <w:szCs w:val="44"/>
        </w:rPr>
        <w:t>00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2"/>
          <w:szCs w:val="44"/>
        </w:rPr>
        <w:t>强高校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2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2"/>
          <w:szCs w:val="44"/>
        </w:rPr>
        <w:t>引进2021年应届优秀毕业生岗位表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2"/>
        <w:tblW w:w="1406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2216"/>
        <w:gridCol w:w="2978"/>
        <w:gridCol w:w="764"/>
        <w:gridCol w:w="765"/>
        <w:gridCol w:w="2953"/>
        <w:gridCol w:w="38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tblHeader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经费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</w:rPr>
              <w:t>专  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1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中共盐城市委机构编制委员会办公室</w:t>
            </w: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盐城市绩效考评中心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公共管理类、计算机类、统计类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1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中共盐城市委党校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中文文秘类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16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盐城市人力资源和社会保障局</w:t>
            </w: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盐城市社会保障信息中心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财务财会类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16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盐城市城乡居民社会养老保险中心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社会保障、统计类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16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盐城市人事考试中心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计算机类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16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盐城市职业技能鉴定指导中心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经费自理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不限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1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盐城市自然资源和规划局</w:t>
            </w: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盐城市规划编制研究信息中心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差额拨款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研究生学历，具有相应硕士或博士学位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城建规划类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16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盐城市城市管理局</w:t>
            </w: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盐城市固体废弃物处置管理处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差额拨款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环境保护类、法律类、电子信息类、安全生产类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16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盐城市城市亮化与户外广告管理中心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差额拨款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机电控制类、法律类、电子信息类、机械工程类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57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1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盐城市交通运输局</w:t>
            </w:r>
          </w:p>
        </w:tc>
        <w:tc>
          <w:tcPr>
            <w:tcW w:w="297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盐城市港航事业发展中心</w:t>
            </w:r>
          </w:p>
        </w:tc>
        <w:tc>
          <w:tcPr>
            <w:tcW w:w="7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全额拨款</w:t>
            </w:r>
          </w:p>
        </w:tc>
        <w:tc>
          <w:tcPr>
            <w:tcW w:w="76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383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</w:rPr>
              <w:t>金融学</w:t>
            </w:r>
          </w:p>
        </w:tc>
      </w:tr>
    </w:tbl>
    <w:p>
      <w:pPr>
        <w:spacing w:line="20" w:lineRule="exact"/>
      </w:pPr>
    </w:p>
    <w:p>
      <w:bookmarkStart w:id="1" w:name="_GoBack"/>
      <w:bookmarkEnd w:id="1"/>
    </w:p>
    <w:sectPr>
      <w:pgSz w:w="16838" w:h="11906" w:orient="landscape"/>
      <w:pgMar w:top="1701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3990"/>
    <w:rsid w:val="568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2021-06-17T06:41:00Z</dcterms:created>
  <dc:creator>滕飞</dc:creator>
  <cp:lastModifiedBy>滕飞</cp:lastModifiedBy>
  <dcterms:modified xsi:type="dcterms:W3CDTF">2021-06-17T06:41:14Z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8182A5C078DD46B5A1B177EC81ADF5DD</vt:lpwstr>
  </property>
</Properties>
</file>