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r>
        <w:rPr>
          <w:rFonts w:hint="eastAsia" w:ascii="仿宋" w:hAnsi="仿宋" w:eastAsia="仿宋"/>
          <w:sz w:val="32"/>
          <w:szCs w:val="32"/>
        </w:rPr>
        <w:t>附件1：</w:t>
      </w:r>
    </w:p>
    <w:p>
      <w:pPr>
        <w:jc w:val="center"/>
        <w:rPr>
          <w:rFonts w:ascii="黑体" w:hAnsi="黑体" w:eastAsia="黑体"/>
          <w:sz w:val="36"/>
          <w:szCs w:val="36"/>
        </w:rPr>
      </w:pPr>
      <w:r>
        <w:rPr>
          <w:rFonts w:hint="eastAsia" w:ascii="黑体" w:hAnsi="黑体" w:eastAsia="黑体"/>
          <w:sz w:val="36"/>
          <w:szCs w:val="36"/>
        </w:rPr>
        <w:t>2021年盐城市自来水有限公司统一公开招聘工作人员岗位表</w:t>
      </w:r>
    </w:p>
    <w:p>
      <w:pPr>
        <w:jc w:val="left"/>
        <w:rPr>
          <w:rFonts w:ascii="仿宋" w:hAnsi="仿宋" w:eastAsia="仿宋"/>
          <w:sz w:val="32"/>
          <w:szCs w:val="32"/>
        </w:rPr>
      </w:pPr>
      <w:r>
        <w:rPr>
          <w:rFonts w:hint="eastAsia" w:ascii="仿宋" w:hAnsi="仿宋" w:eastAsia="仿宋"/>
          <w:sz w:val="32"/>
          <w:szCs w:val="32"/>
        </w:rPr>
        <w:t>填报单位（盖章）：</w:t>
      </w:r>
    </w:p>
    <w:tbl>
      <w:tblPr>
        <w:tblStyle w:val="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6"/>
        <w:gridCol w:w="592"/>
        <w:gridCol w:w="426"/>
        <w:gridCol w:w="506"/>
        <w:gridCol w:w="419"/>
        <w:gridCol w:w="337"/>
        <w:gridCol w:w="337"/>
        <w:gridCol w:w="1604"/>
        <w:gridCol w:w="1687"/>
        <w:gridCol w:w="506"/>
        <w:gridCol w:w="506"/>
        <w:gridCol w:w="1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82" w:hRule="atLeast"/>
          <w:tblHeader/>
        </w:trPr>
        <w:tc>
          <w:tcPr>
            <w:tcW w:w="285" w:type="pct"/>
            <w:vMerge w:val="restar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主管部门</w:t>
            </w:r>
          </w:p>
        </w:tc>
        <w:tc>
          <w:tcPr>
            <w:tcW w:w="597" w:type="pct"/>
            <w:gridSpan w:val="2"/>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招聘单位</w:t>
            </w:r>
          </w:p>
        </w:tc>
        <w:tc>
          <w:tcPr>
            <w:tcW w:w="297" w:type="pc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招聘 岗位</w:t>
            </w:r>
          </w:p>
        </w:tc>
        <w:tc>
          <w:tcPr>
            <w:tcW w:w="246" w:type="pct"/>
            <w:vMerge w:val="restar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招聘</w:t>
            </w:r>
            <w:r>
              <w:rPr>
                <w:rFonts w:hint="eastAsia" w:ascii="宋体" w:hAnsi="宋体" w:eastAsia="宋体" w:cs="宋体"/>
                <w:b/>
                <w:bCs/>
                <w:color w:val="000000"/>
                <w:kern w:val="0"/>
                <w:sz w:val="19"/>
                <w:szCs w:val="19"/>
              </w:rPr>
              <w:br w:type="textWrapping"/>
            </w:r>
            <w:r>
              <w:rPr>
                <w:rFonts w:hint="eastAsia" w:ascii="宋体" w:hAnsi="宋体" w:eastAsia="宋体" w:cs="宋体"/>
                <w:b/>
                <w:bCs/>
                <w:color w:val="000000"/>
                <w:kern w:val="0"/>
                <w:sz w:val="19"/>
                <w:szCs w:val="19"/>
              </w:rPr>
              <w:t>计划数</w:t>
            </w:r>
          </w:p>
        </w:tc>
        <w:tc>
          <w:tcPr>
            <w:tcW w:w="198" w:type="pct"/>
            <w:vMerge w:val="restar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开考比例</w:t>
            </w:r>
          </w:p>
        </w:tc>
        <w:tc>
          <w:tcPr>
            <w:tcW w:w="2426" w:type="pct"/>
            <w:gridSpan w:val="4"/>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招聘条件</w:t>
            </w:r>
          </w:p>
        </w:tc>
        <w:tc>
          <w:tcPr>
            <w:tcW w:w="297" w:type="pct"/>
            <w:vMerge w:val="restar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面试形式及所占比例</w:t>
            </w:r>
          </w:p>
        </w:tc>
        <w:tc>
          <w:tcPr>
            <w:tcW w:w="654" w:type="pct"/>
            <w:vMerge w:val="restar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其他说明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blHeader/>
        </w:trPr>
        <w:tc>
          <w:tcPr>
            <w:tcW w:w="285" w:type="pct"/>
            <w:vMerge w:val="continue"/>
            <w:noWrap w:val="0"/>
            <w:vAlign w:val="center"/>
          </w:tcPr>
          <w:p>
            <w:pPr>
              <w:widowControl/>
              <w:jc w:val="left"/>
              <w:rPr>
                <w:rFonts w:ascii="宋体" w:hAnsi="宋体" w:eastAsia="宋体" w:cs="宋体"/>
                <w:b/>
                <w:bCs/>
                <w:color w:val="000000"/>
                <w:kern w:val="0"/>
                <w:sz w:val="19"/>
                <w:szCs w:val="19"/>
              </w:rPr>
            </w:pPr>
          </w:p>
        </w:tc>
        <w:tc>
          <w:tcPr>
            <w:tcW w:w="347" w:type="pc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名  称</w:t>
            </w:r>
          </w:p>
        </w:tc>
        <w:tc>
          <w:tcPr>
            <w:tcW w:w="249" w:type="pc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经费来源</w:t>
            </w:r>
          </w:p>
        </w:tc>
        <w:tc>
          <w:tcPr>
            <w:tcW w:w="297" w:type="pc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岗位 名称</w:t>
            </w:r>
          </w:p>
        </w:tc>
        <w:tc>
          <w:tcPr>
            <w:tcW w:w="246" w:type="pct"/>
            <w:vMerge w:val="continue"/>
            <w:noWrap w:val="0"/>
            <w:vAlign w:val="center"/>
          </w:tcPr>
          <w:p>
            <w:pPr>
              <w:widowControl/>
              <w:jc w:val="left"/>
              <w:rPr>
                <w:rFonts w:ascii="宋体" w:hAnsi="宋体" w:eastAsia="宋体" w:cs="宋体"/>
                <w:b/>
                <w:bCs/>
                <w:color w:val="000000"/>
                <w:kern w:val="0"/>
                <w:sz w:val="19"/>
                <w:szCs w:val="19"/>
              </w:rPr>
            </w:pPr>
          </w:p>
        </w:tc>
        <w:tc>
          <w:tcPr>
            <w:tcW w:w="198" w:type="pct"/>
            <w:vMerge w:val="continue"/>
            <w:noWrap w:val="0"/>
            <w:vAlign w:val="center"/>
          </w:tcPr>
          <w:p>
            <w:pPr>
              <w:widowControl/>
              <w:jc w:val="left"/>
              <w:rPr>
                <w:rFonts w:ascii="宋体" w:hAnsi="宋体" w:eastAsia="宋体" w:cs="宋体"/>
                <w:b/>
                <w:bCs/>
                <w:color w:val="000000"/>
                <w:kern w:val="0"/>
                <w:sz w:val="19"/>
                <w:szCs w:val="19"/>
              </w:rPr>
            </w:pPr>
          </w:p>
        </w:tc>
        <w:tc>
          <w:tcPr>
            <w:tcW w:w="198" w:type="pc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学历 学位</w:t>
            </w:r>
          </w:p>
        </w:tc>
        <w:tc>
          <w:tcPr>
            <w:tcW w:w="941" w:type="pc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专     业</w:t>
            </w:r>
          </w:p>
        </w:tc>
        <w:tc>
          <w:tcPr>
            <w:tcW w:w="990" w:type="pc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其他条件</w:t>
            </w:r>
          </w:p>
        </w:tc>
        <w:tc>
          <w:tcPr>
            <w:tcW w:w="297" w:type="pct"/>
            <w:noWrap w:val="0"/>
            <w:vAlign w:val="center"/>
          </w:tcPr>
          <w:p>
            <w:pPr>
              <w:widowControl/>
              <w:jc w:val="center"/>
              <w:rPr>
                <w:rFonts w:ascii="宋体" w:hAnsi="宋体" w:eastAsia="宋体" w:cs="宋体"/>
                <w:b/>
                <w:bCs/>
                <w:color w:val="000000"/>
                <w:kern w:val="0"/>
                <w:sz w:val="19"/>
                <w:szCs w:val="19"/>
              </w:rPr>
            </w:pPr>
            <w:r>
              <w:rPr>
                <w:rFonts w:hint="eastAsia" w:ascii="宋体" w:hAnsi="宋体" w:eastAsia="宋体" w:cs="宋体"/>
                <w:b/>
                <w:bCs/>
                <w:color w:val="000000"/>
                <w:kern w:val="0"/>
                <w:sz w:val="19"/>
                <w:szCs w:val="19"/>
              </w:rPr>
              <w:t>招聘对象</w:t>
            </w:r>
          </w:p>
        </w:tc>
        <w:tc>
          <w:tcPr>
            <w:tcW w:w="297" w:type="pct"/>
            <w:vMerge w:val="continue"/>
            <w:noWrap w:val="0"/>
            <w:vAlign w:val="center"/>
          </w:tcPr>
          <w:p>
            <w:pPr>
              <w:widowControl/>
              <w:jc w:val="left"/>
              <w:rPr>
                <w:rFonts w:ascii="宋体" w:hAnsi="宋体" w:eastAsia="宋体" w:cs="宋体"/>
                <w:b/>
                <w:bCs/>
                <w:color w:val="000000"/>
                <w:kern w:val="0"/>
                <w:sz w:val="19"/>
                <w:szCs w:val="19"/>
              </w:rPr>
            </w:pPr>
          </w:p>
        </w:tc>
        <w:tc>
          <w:tcPr>
            <w:tcW w:w="654" w:type="pct"/>
            <w:vMerge w:val="continue"/>
            <w:noWrap w:val="0"/>
            <w:vAlign w:val="center"/>
          </w:tcPr>
          <w:p>
            <w:pPr>
              <w:widowControl/>
              <w:jc w:val="left"/>
              <w:rPr>
                <w:rFonts w:ascii="宋体" w:hAnsi="宋体" w:eastAsia="宋体" w:cs="宋体"/>
                <w:b/>
                <w:bCs/>
                <w:color w:val="000000"/>
                <w:kern w:val="0"/>
                <w:sz w:val="19"/>
                <w:szCs w:val="19"/>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3" w:hRule="atLeast"/>
        </w:trPr>
        <w:tc>
          <w:tcPr>
            <w:tcW w:w="285"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市城投集团</w:t>
            </w:r>
          </w:p>
        </w:tc>
        <w:tc>
          <w:tcPr>
            <w:tcW w:w="347"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市自来水有限公司</w:t>
            </w:r>
          </w:p>
        </w:tc>
        <w:tc>
          <w:tcPr>
            <w:tcW w:w="249"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国有企业</w:t>
            </w:r>
          </w:p>
        </w:tc>
        <w:tc>
          <w:tcPr>
            <w:tcW w:w="297" w:type="pct"/>
            <w:noWrap w:val="0"/>
            <w:vAlign w:val="center"/>
          </w:tcPr>
          <w:p>
            <w:pPr>
              <w:widowControl/>
              <w:rPr>
                <w:rFonts w:ascii="宋体" w:hAnsi="宋体" w:eastAsia="宋体" w:cs="宋体"/>
                <w:color w:val="000000"/>
                <w:kern w:val="0"/>
                <w:sz w:val="19"/>
                <w:szCs w:val="19"/>
              </w:rPr>
            </w:pPr>
            <w:r>
              <w:rPr>
                <w:rFonts w:hint="eastAsia" w:ascii="宋体" w:hAnsi="宋体" w:eastAsia="宋体" w:cs="宋体"/>
                <w:color w:val="000000"/>
                <w:kern w:val="0"/>
                <w:sz w:val="24"/>
              </w:rPr>
              <w:t>生产管理员</w:t>
            </w:r>
          </w:p>
        </w:tc>
        <w:tc>
          <w:tcPr>
            <w:tcW w:w="246" w:type="pct"/>
            <w:noWrap w:val="0"/>
            <w:vAlign w:val="center"/>
          </w:tcPr>
          <w:p>
            <w:pPr>
              <w:widowControl/>
              <w:jc w:val="center"/>
              <w:rPr>
                <w:rFonts w:ascii="宋体" w:hAnsi="宋体" w:eastAsia="宋体" w:cs="宋体"/>
                <w:color w:val="000000"/>
                <w:kern w:val="0"/>
                <w:sz w:val="19"/>
                <w:szCs w:val="19"/>
              </w:rPr>
            </w:pPr>
            <w:r>
              <w:rPr>
                <w:rFonts w:hint="eastAsia" w:ascii="宋体" w:hAnsi="宋体" w:eastAsia="宋体" w:cs="宋体"/>
                <w:color w:val="000000"/>
                <w:kern w:val="0"/>
                <w:sz w:val="24"/>
              </w:rPr>
              <w:t>4人</w:t>
            </w:r>
          </w:p>
        </w:tc>
        <w:tc>
          <w:tcPr>
            <w:tcW w:w="198" w:type="pct"/>
            <w:noWrap w:val="0"/>
            <w:vAlign w:val="center"/>
          </w:tcPr>
          <w:p>
            <w:pPr>
              <w:widowControl/>
              <w:jc w:val="center"/>
              <w:rPr>
                <w:rFonts w:ascii="宋体" w:hAnsi="宋体" w:eastAsia="宋体" w:cs="宋体"/>
                <w:color w:val="000000"/>
                <w:kern w:val="0"/>
                <w:sz w:val="19"/>
                <w:szCs w:val="19"/>
              </w:rPr>
            </w:pPr>
            <w:r>
              <w:rPr>
                <w:rFonts w:hint="eastAsia" w:ascii="宋体" w:hAnsi="宋体" w:eastAsia="宋体" w:cs="宋体"/>
                <w:color w:val="000000"/>
                <w:kern w:val="0"/>
                <w:sz w:val="19"/>
                <w:szCs w:val="19"/>
              </w:rPr>
              <w:t>1:3</w:t>
            </w:r>
          </w:p>
        </w:tc>
        <w:tc>
          <w:tcPr>
            <w:tcW w:w="198" w:type="pct"/>
            <w:vMerge w:val="restart"/>
            <w:tcBorders>
              <w:top w:val="single" w:color="auto" w:sz="4" w:space="0"/>
            </w:tcBorders>
            <w:noWrap w:val="0"/>
            <w:vAlign w:val="center"/>
          </w:tcPr>
          <w:p>
            <w:pPr>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全日制本科及以上，具有相应学位</w:t>
            </w:r>
          </w:p>
        </w:tc>
        <w:tc>
          <w:tcPr>
            <w:tcW w:w="941" w:type="pct"/>
            <w:tcBorders>
              <w:top w:val="single" w:color="auto" w:sz="4" w:space="0"/>
            </w:tcBorders>
            <w:noWrap w:val="0"/>
            <w:vAlign w:val="center"/>
          </w:tcPr>
          <w:p>
            <w:pPr>
              <w:widowControl/>
              <w:jc w:val="left"/>
              <w:rPr>
                <w:rFonts w:ascii="宋体" w:hAnsi="宋体" w:eastAsia="宋体" w:cs="宋体"/>
                <w:color w:val="000000"/>
                <w:kern w:val="0"/>
                <w:sz w:val="19"/>
                <w:szCs w:val="19"/>
              </w:rPr>
            </w:pPr>
            <w:r>
              <w:rPr>
                <w:rFonts w:hint="eastAsia" w:ascii="宋体" w:hAnsi="宋体" w:eastAsia="宋体" w:cs="宋体"/>
                <w:color w:val="000000"/>
                <w:kern w:val="0"/>
                <w:sz w:val="22"/>
              </w:rPr>
              <w:t>水利工程类、环境保护类</w:t>
            </w:r>
          </w:p>
        </w:tc>
        <w:tc>
          <w:tcPr>
            <w:tcW w:w="990" w:type="pct"/>
            <w:tcBorders>
              <w:top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1991年1月1日之后出生，能适应岗位需要。</w:t>
            </w:r>
          </w:p>
        </w:tc>
        <w:tc>
          <w:tcPr>
            <w:tcW w:w="297" w:type="pct"/>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不限</w:t>
            </w:r>
          </w:p>
        </w:tc>
        <w:tc>
          <w:tcPr>
            <w:tcW w:w="297"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结构化面试50%</w:t>
            </w:r>
          </w:p>
        </w:tc>
        <w:tc>
          <w:tcPr>
            <w:tcW w:w="654" w:type="pct"/>
            <w:noWrap w:val="0"/>
            <w:vAlign w:val="center"/>
          </w:tcPr>
          <w:p>
            <w:pPr>
              <w:widowControl/>
              <w:rPr>
                <w:rFonts w:ascii="宋体" w:hAnsi="宋体" w:eastAsia="宋体" w:cs="宋体"/>
                <w:color w:val="000000"/>
                <w:kern w:val="0"/>
                <w:sz w:val="19"/>
                <w:szCs w:val="19"/>
              </w:rPr>
            </w:pPr>
            <w:r>
              <w:rPr>
                <w:rFonts w:hint="eastAsia" w:ascii="宋体" w:hAnsi="宋体" w:eastAsia="宋体" w:cs="宋体"/>
                <w:color w:val="000000"/>
                <w:kern w:val="0"/>
                <w:sz w:val="19"/>
                <w:szCs w:val="19"/>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285"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市城投集团</w:t>
            </w:r>
          </w:p>
        </w:tc>
        <w:tc>
          <w:tcPr>
            <w:tcW w:w="347"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市自来水有限公司</w:t>
            </w:r>
          </w:p>
        </w:tc>
        <w:tc>
          <w:tcPr>
            <w:tcW w:w="249"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国有企业</w:t>
            </w:r>
          </w:p>
        </w:tc>
        <w:tc>
          <w:tcPr>
            <w:tcW w:w="297" w:type="pct"/>
            <w:noWrap w:val="0"/>
            <w:vAlign w:val="center"/>
          </w:tcPr>
          <w:p>
            <w:pPr>
              <w:widowControl/>
              <w:rPr>
                <w:rFonts w:ascii="宋体" w:hAnsi="宋体" w:eastAsia="宋体" w:cs="宋体"/>
                <w:color w:val="000000"/>
                <w:kern w:val="0"/>
                <w:sz w:val="19"/>
                <w:szCs w:val="19"/>
              </w:rPr>
            </w:pPr>
            <w:r>
              <w:rPr>
                <w:rFonts w:hint="eastAsia" w:ascii="宋体" w:hAnsi="宋体" w:eastAsia="宋体" w:cs="宋体"/>
                <w:color w:val="000000"/>
                <w:kern w:val="0"/>
                <w:sz w:val="24"/>
              </w:rPr>
              <w:t>机电维修管理员</w:t>
            </w:r>
          </w:p>
        </w:tc>
        <w:tc>
          <w:tcPr>
            <w:tcW w:w="246" w:type="pct"/>
            <w:noWrap w:val="0"/>
            <w:vAlign w:val="center"/>
          </w:tcPr>
          <w:p>
            <w:pPr>
              <w:widowControl/>
              <w:jc w:val="center"/>
              <w:rPr>
                <w:rFonts w:ascii="宋体" w:hAnsi="宋体" w:eastAsia="宋体" w:cs="宋体"/>
                <w:color w:val="000000"/>
                <w:kern w:val="0"/>
                <w:sz w:val="19"/>
                <w:szCs w:val="19"/>
              </w:rPr>
            </w:pPr>
            <w:r>
              <w:rPr>
                <w:rFonts w:hint="eastAsia" w:ascii="宋体" w:hAnsi="宋体" w:eastAsia="宋体" w:cs="宋体"/>
                <w:color w:val="000000"/>
                <w:kern w:val="0"/>
                <w:sz w:val="19"/>
                <w:szCs w:val="19"/>
              </w:rPr>
              <w:t>2人</w:t>
            </w:r>
          </w:p>
        </w:tc>
        <w:tc>
          <w:tcPr>
            <w:tcW w:w="198" w:type="pct"/>
            <w:noWrap w:val="0"/>
            <w:vAlign w:val="center"/>
          </w:tcPr>
          <w:p>
            <w:pPr>
              <w:widowControl/>
              <w:jc w:val="center"/>
              <w:rPr>
                <w:rFonts w:ascii="宋体" w:hAnsi="宋体" w:eastAsia="宋体" w:cs="宋体"/>
                <w:color w:val="000000"/>
                <w:kern w:val="0"/>
                <w:sz w:val="19"/>
                <w:szCs w:val="19"/>
              </w:rPr>
            </w:pPr>
            <w:r>
              <w:rPr>
                <w:rFonts w:hint="eastAsia" w:ascii="宋体" w:hAnsi="宋体" w:eastAsia="宋体" w:cs="宋体"/>
                <w:color w:val="000000"/>
                <w:kern w:val="0"/>
                <w:sz w:val="19"/>
                <w:szCs w:val="19"/>
              </w:rPr>
              <w:t>1:3</w:t>
            </w:r>
          </w:p>
        </w:tc>
        <w:tc>
          <w:tcPr>
            <w:tcW w:w="198" w:type="pct"/>
            <w:vMerge w:val="continue"/>
            <w:noWrap w:val="0"/>
            <w:vAlign w:val="center"/>
          </w:tcPr>
          <w:p>
            <w:pPr>
              <w:widowControl/>
              <w:jc w:val="left"/>
              <w:rPr>
                <w:rFonts w:ascii="宋体" w:hAnsi="宋体" w:eastAsia="宋体" w:cs="宋体"/>
                <w:color w:val="000000"/>
                <w:kern w:val="0"/>
                <w:sz w:val="18"/>
                <w:szCs w:val="18"/>
              </w:rPr>
            </w:pPr>
          </w:p>
        </w:tc>
        <w:tc>
          <w:tcPr>
            <w:tcW w:w="941" w:type="pct"/>
            <w:noWrap w:val="0"/>
            <w:vAlign w:val="center"/>
          </w:tcPr>
          <w:p>
            <w:pPr>
              <w:widowControl/>
              <w:rPr>
                <w:rFonts w:ascii="宋体" w:hAnsi="宋体" w:eastAsia="宋体" w:cs="宋体"/>
                <w:color w:val="000000"/>
                <w:kern w:val="0"/>
                <w:sz w:val="19"/>
                <w:szCs w:val="19"/>
              </w:rPr>
            </w:pPr>
            <w:r>
              <w:rPr>
                <w:rFonts w:hint="eastAsia" w:ascii="宋体" w:hAnsi="宋体" w:eastAsia="宋体" w:cs="宋体"/>
                <w:color w:val="000000"/>
                <w:kern w:val="0"/>
                <w:sz w:val="24"/>
              </w:rPr>
              <w:t>机电控制类、电子信息类</w:t>
            </w:r>
          </w:p>
        </w:tc>
        <w:tc>
          <w:tcPr>
            <w:tcW w:w="990" w:type="pct"/>
            <w:vMerge w:val="restart"/>
            <w:noWrap w:val="0"/>
            <w:vAlign w:val="center"/>
          </w:tcPr>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1991年1月1日之后出生，能适应岗位需要。</w:t>
            </w:r>
          </w:p>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1986年1月1日之后出生，能适应岗位需要。</w:t>
            </w:r>
          </w:p>
          <w:p>
            <w:pPr>
              <w:widowControl/>
              <w:jc w:val="left"/>
              <w:rPr>
                <w:rFonts w:ascii="宋体" w:hAnsi="宋体" w:eastAsia="宋体" w:cs="宋体"/>
                <w:color w:val="000000"/>
                <w:kern w:val="0"/>
                <w:sz w:val="22"/>
              </w:rPr>
            </w:pPr>
          </w:p>
        </w:tc>
        <w:tc>
          <w:tcPr>
            <w:tcW w:w="297" w:type="pct"/>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不限</w:t>
            </w:r>
          </w:p>
        </w:tc>
        <w:tc>
          <w:tcPr>
            <w:tcW w:w="297"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结构化面试50%</w:t>
            </w:r>
          </w:p>
        </w:tc>
        <w:tc>
          <w:tcPr>
            <w:tcW w:w="654" w:type="pct"/>
            <w:noWrap w:val="0"/>
            <w:vAlign w:val="center"/>
          </w:tcPr>
          <w:p>
            <w:pPr>
              <w:widowControl/>
              <w:rPr>
                <w:rFonts w:ascii="宋体" w:hAnsi="宋体" w:eastAsia="宋体" w:cs="宋体"/>
                <w:color w:val="000000"/>
                <w:kern w:val="0"/>
                <w:sz w:val="19"/>
                <w:szCs w:val="19"/>
              </w:rPr>
            </w:pPr>
            <w:r>
              <w:rPr>
                <w:rFonts w:hint="eastAsia" w:ascii="宋体" w:hAnsi="宋体" w:eastAsia="宋体" w:cs="宋体"/>
                <w:color w:val="000000"/>
                <w:kern w:val="0"/>
                <w:sz w:val="19"/>
                <w:szCs w:val="19"/>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285" w:type="pct"/>
            <w:tcBorders>
              <w:top w:val="nil"/>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市城投集团</w:t>
            </w:r>
          </w:p>
        </w:tc>
        <w:tc>
          <w:tcPr>
            <w:tcW w:w="347" w:type="pct"/>
            <w:tcBorders>
              <w:top w:val="nil"/>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市自来水有限公司</w:t>
            </w:r>
          </w:p>
        </w:tc>
        <w:tc>
          <w:tcPr>
            <w:tcW w:w="249" w:type="pct"/>
            <w:tcBorders>
              <w:top w:val="nil"/>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国有企业</w:t>
            </w:r>
          </w:p>
        </w:tc>
        <w:tc>
          <w:tcPr>
            <w:tcW w:w="297" w:type="pct"/>
            <w:tcBorders>
              <w:top w:val="nil"/>
            </w:tcBorders>
            <w:noWrap w:val="0"/>
            <w:vAlign w:val="center"/>
          </w:tcPr>
          <w:p>
            <w:pPr>
              <w:widowControl/>
              <w:rPr>
                <w:rFonts w:ascii="宋体" w:hAnsi="宋体" w:eastAsia="宋体" w:cs="宋体"/>
                <w:color w:val="000000"/>
                <w:kern w:val="0"/>
                <w:sz w:val="19"/>
                <w:szCs w:val="19"/>
              </w:rPr>
            </w:pPr>
            <w:r>
              <w:rPr>
                <w:rFonts w:hint="eastAsia" w:ascii="宋体" w:hAnsi="宋体" w:cs="宋体"/>
                <w:color w:val="000000"/>
                <w:sz w:val="24"/>
              </w:rPr>
              <w:t>企业管理员</w:t>
            </w:r>
          </w:p>
        </w:tc>
        <w:tc>
          <w:tcPr>
            <w:tcW w:w="246" w:type="pct"/>
            <w:tcBorders>
              <w:top w:val="nil"/>
            </w:tcBorders>
            <w:noWrap w:val="0"/>
            <w:vAlign w:val="center"/>
          </w:tcPr>
          <w:p>
            <w:pPr>
              <w:widowControl/>
              <w:jc w:val="center"/>
              <w:rPr>
                <w:rFonts w:ascii="宋体" w:hAnsi="宋体" w:eastAsia="宋体" w:cs="宋体"/>
                <w:color w:val="000000"/>
                <w:kern w:val="0"/>
                <w:sz w:val="19"/>
                <w:szCs w:val="19"/>
              </w:rPr>
            </w:pPr>
            <w:r>
              <w:rPr>
                <w:rFonts w:hint="eastAsia" w:ascii="宋体" w:hAnsi="宋体" w:eastAsia="宋体" w:cs="宋体"/>
                <w:color w:val="000000"/>
                <w:kern w:val="0"/>
                <w:sz w:val="19"/>
                <w:szCs w:val="19"/>
              </w:rPr>
              <w:t>2</w:t>
            </w:r>
            <w:r>
              <w:rPr>
                <w:rFonts w:hint="eastAsia" w:ascii="宋体" w:hAnsi="宋体" w:eastAsia="宋体" w:cs="宋体"/>
                <w:color w:val="000000"/>
                <w:kern w:val="0"/>
                <w:sz w:val="24"/>
                <w:szCs w:val="24"/>
              </w:rPr>
              <w:t>人</w:t>
            </w:r>
          </w:p>
        </w:tc>
        <w:tc>
          <w:tcPr>
            <w:tcW w:w="198" w:type="pct"/>
            <w:tcBorders>
              <w:top w:val="nil"/>
            </w:tcBorders>
            <w:noWrap w:val="0"/>
            <w:vAlign w:val="center"/>
          </w:tcPr>
          <w:p>
            <w:pPr>
              <w:widowControl/>
              <w:jc w:val="center"/>
              <w:rPr>
                <w:rFonts w:ascii="宋体" w:hAnsi="宋体" w:eastAsia="宋体" w:cs="宋体"/>
                <w:color w:val="000000"/>
                <w:kern w:val="0"/>
                <w:sz w:val="19"/>
                <w:szCs w:val="19"/>
              </w:rPr>
            </w:pPr>
            <w:r>
              <w:rPr>
                <w:rFonts w:hint="eastAsia" w:ascii="宋体" w:hAnsi="宋体" w:eastAsia="宋体" w:cs="宋体"/>
                <w:color w:val="000000"/>
                <w:kern w:val="0"/>
                <w:sz w:val="19"/>
                <w:szCs w:val="19"/>
              </w:rPr>
              <w:t>1:3</w:t>
            </w:r>
          </w:p>
        </w:tc>
        <w:tc>
          <w:tcPr>
            <w:tcW w:w="198" w:type="pct"/>
            <w:vMerge w:val="continue"/>
            <w:noWrap w:val="0"/>
            <w:vAlign w:val="center"/>
          </w:tcPr>
          <w:p>
            <w:pPr>
              <w:widowControl/>
              <w:jc w:val="left"/>
              <w:rPr>
                <w:rFonts w:ascii="宋体" w:hAnsi="宋体" w:eastAsia="宋体" w:cs="宋体"/>
                <w:color w:val="000000"/>
                <w:kern w:val="0"/>
                <w:sz w:val="18"/>
                <w:szCs w:val="18"/>
              </w:rPr>
            </w:pPr>
          </w:p>
        </w:tc>
        <w:tc>
          <w:tcPr>
            <w:tcW w:w="941" w:type="pct"/>
            <w:noWrap w:val="0"/>
            <w:vAlign w:val="center"/>
          </w:tcPr>
          <w:p>
            <w:pPr>
              <w:widowControl/>
              <w:jc w:val="left"/>
              <w:rPr>
                <w:rFonts w:ascii="宋体" w:hAnsi="宋体" w:eastAsia="宋体" w:cs="宋体"/>
                <w:color w:val="000000"/>
                <w:kern w:val="0"/>
                <w:sz w:val="19"/>
                <w:szCs w:val="19"/>
              </w:rPr>
            </w:pPr>
            <w:r>
              <w:rPr>
                <w:rFonts w:hint="eastAsia" w:ascii="宋体" w:hAnsi="宋体" w:eastAsia="宋体" w:cs="宋体"/>
                <w:color w:val="000000"/>
                <w:kern w:val="0"/>
                <w:sz w:val="22"/>
              </w:rPr>
              <w:t>审计类、工商管理类、商务贸易类、财务财会类</w:t>
            </w:r>
          </w:p>
        </w:tc>
        <w:tc>
          <w:tcPr>
            <w:tcW w:w="990" w:type="pct"/>
            <w:vMerge w:val="continue"/>
            <w:noWrap w:val="0"/>
            <w:vAlign w:val="center"/>
          </w:tcPr>
          <w:p>
            <w:pPr>
              <w:widowControl/>
              <w:jc w:val="left"/>
              <w:rPr>
                <w:rFonts w:ascii="宋体" w:hAnsi="宋体" w:eastAsia="宋体" w:cs="宋体"/>
                <w:color w:val="000000"/>
                <w:kern w:val="0"/>
                <w:sz w:val="22"/>
              </w:rPr>
            </w:pPr>
          </w:p>
        </w:tc>
        <w:tc>
          <w:tcPr>
            <w:tcW w:w="297" w:type="pct"/>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不限</w:t>
            </w:r>
          </w:p>
        </w:tc>
        <w:tc>
          <w:tcPr>
            <w:tcW w:w="297"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结构化面试50%</w:t>
            </w:r>
          </w:p>
        </w:tc>
        <w:tc>
          <w:tcPr>
            <w:tcW w:w="654" w:type="pct"/>
            <w:noWrap w:val="0"/>
            <w:vAlign w:val="center"/>
          </w:tcPr>
          <w:p>
            <w:pPr>
              <w:widowControl/>
              <w:rPr>
                <w:rFonts w:ascii="宋体" w:hAnsi="宋体" w:eastAsia="宋体" w:cs="宋体"/>
                <w:color w:val="000000"/>
                <w:kern w:val="0"/>
                <w:sz w:val="19"/>
                <w:szCs w:val="19"/>
              </w:rPr>
            </w:pPr>
            <w:r>
              <w:rPr>
                <w:rFonts w:hint="eastAsia" w:ascii="宋体" w:hAnsi="宋体" w:eastAsia="宋体" w:cs="宋体"/>
                <w:color w:val="000000"/>
                <w:kern w:val="0"/>
                <w:sz w:val="19"/>
                <w:szCs w:val="19"/>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285"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市城投集团</w:t>
            </w:r>
          </w:p>
        </w:tc>
        <w:tc>
          <w:tcPr>
            <w:tcW w:w="347"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市自来水有限公司</w:t>
            </w:r>
          </w:p>
        </w:tc>
        <w:tc>
          <w:tcPr>
            <w:tcW w:w="249"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国有企业</w:t>
            </w:r>
          </w:p>
        </w:tc>
        <w:tc>
          <w:tcPr>
            <w:tcW w:w="297"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工程管理员</w:t>
            </w:r>
          </w:p>
        </w:tc>
        <w:tc>
          <w:tcPr>
            <w:tcW w:w="246" w:type="pct"/>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8人</w:t>
            </w:r>
          </w:p>
        </w:tc>
        <w:tc>
          <w:tcPr>
            <w:tcW w:w="198" w:type="pct"/>
            <w:tcBorders>
              <w:bottom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98" w:type="pct"/>
            <w:vMerge w:val="continue"/>
            <w:tcBorders>
              <w:bottom w:val="single" w:color="auto" w:sz="4" w:space="0"/>
            </w:tcBorders>
            <w:noWrap w:val="0"/>
            <w:vAlign w:val="center"/>
          </w:tcPr>
          <w:p>
            <w:pPr>
              <w:widowControl/>
              <w:jc w:val="left"/>
              <w:rPr>
                <w:rFonts w:ascii="宋体" w:hAnsi="宋体" w:eastAsia="宋体" w:cs="宋体"/>
                <w:color w:val="000000"/>
                <w:kern w:val="0"/>
                <w:sz w:val="22"/>
              </w:rPr>
            </w:pPr>
          </w:p>
        </w:tc>
        <w:tc>
          <w:tcPr>
            <w:tcW w:w="941" w:type="pct"/>
            <w:tcBorders>
              <w:bottom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建筑工程类</w:t>
            </w:r>
          </w:p>
        </w:tc>
        <w:tc>
          <w:tcPr>
            <w:tcW w:w="990" w:type="pct"/>
            <w:vMerge w:val="continue"/>
            <w:tcBorders>
              <w:bottom w:val="single" w:color="auto" w:sz="4" w:space="0"/>
            </w:tcBorders>
            <w:noWrap w:val="0"/>
            <w:vAlign w:val="center"/>
          </w:tcPr>
          <w:p>
            <w:pPr>
              <w:widowControl/>
              <w:jc w:val="left"/>
              <w:rPr>
                <w:rFonts w:ascii="宋体" w:hAnsi="宋体" w:eastAsia="宋体" w:cs="宋体"/>
                <w:color w:val="000000"/>
                <w:kern w:val="0"/>
                <w:sz w:val="22"/>
              </w:rPr>
            </w:pPr>
          </w:p>
        </w:tc>
        <w:tc>
          <w:tcPr>
            <w:tcW w:w="297" w:type="pct"/>
            <w:tcBorders>
              <w:bottom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不限</w:t>
            </w:r>
          </w:p>
        </w:tc>
        <w:tc>
          <w:tcPr>
            <w:tcW w:w="297" w:type="pct"/>
            <w:tcBorders>
              <w:bottom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结构化面试50%</w:t>
            </w:r>
          </w:p>
        </w:tc>
        <w:tc>
          <w:tcPr>
            <w:tcW w:w="654" w:type="pct"/>
            <w:tcBorders>
              <w:bottom w:val="single" w:color="auto" w:sz="4" w:space="0"/>
            </w:tcBorders>
            <w:noWrap w:val="0"/>
            <w:vAlign w:val="center"/>
          </w:tcPr>
          <w:p>
            <w:pPr>
              <w:widowControl/>
              <w:rPr>
                <w:rFonts w:ascii="宋体" w:hAnsi="宋体" w:eastAsia="宋体" w:cs="宋体"/>
                <w:color w:val="000000"/>
                <w:kern w:val="0"/>
                <w:sz w:val="19"/>
                <w:szCs w:val="19"/>
              </w:rPr>
            </w:pPr>
            <w:r>
              <w:rPr>
                <w:rFonts w:hint="eastAsia" w:ascii="宋体" w:hAnsi="宋体" w:eastAsia="宋体" w:cs="宋体"/>
                <w:color w:val="000000"/>
                <w:kern w:val="0"/>
                <w:sz w:val="19"/>
                <w:szCs w:val="19"/>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8" w:hRule="atLeast"/>
        </w:trPr>
        <w:tc>
          <w:tcPr>
            <w:tcW w:w="285" w:type="pct"/>
            <w:tcBorders>
              <w:top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市城投集团</w:t>
            </w:r>
          </w:p>
        </w:tc>
        <w:tc>
          <w:tcPr>
            <w:tcW w:w="347" w:type="pct"/>
            <w:tcBorders>
              <w:top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市自来水有限公司</w:t>
            </w:r>
          </w:p>
        </w:tc>
        <w:tc>
          <w:tcPr>
            <w:tcW w:w="249" w:type="pct"/>
            <w:tcBorders>
              <w:top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国有企业</w:t>
            </w:r>
          </w:p>
        </w:tc>
        <w:tc>
          <w:tcPr>
            <w:tcW w:w="297" w:type="pct"/>
            <w:tcBorders>
              <w:top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机修装配工</w:t>
            </w:r>
          </w:p>
        </w:tc>
        <w:tc>
          <w:tcPr>
            <w:tcW w:w="246" w:type="pct"/>
            <w:tcBorders>
              <w:top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2人</w:t>
            </w:r>
          </w:p>
        </w:tc>
        <w:tc>
          <w:tcPr>
            <w:tcW w:w="198" w:type="pct"/>
            <w:tcBorders>
              <w:top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98" w:type="pct"/>
            <w:tcBorders>
              <w:top w:val="single" w:color="auto" w:sz="4" w:space="0"/>
            </w:tcBorders>
            <w:noWrap w:val="0"/>
            <w:vAlign w:val="center"/>
          </w:tcPr>
          <w:p>
            <w:pPr>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全日制大专及以上学历</w:t>
            </w:r>
          </w:p>
        </w:tc>
        <w:tc>
          <w:tcPr>
            <w:tcW w:w="941" w:type="pct"/>
            <w:tcBorders>
              <w:top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机电控制类、机械工程类</w:t>
            </w:r>
          </w:p>
        </w:tc>
        <w:tc>
          <w:tcPr>
            <w:tcW w:w="990" w:type="pct"/>
            <w:tcBorders>
              <w:top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1991年1月1日之后出生，能适应岗位需要。</w:t>
            </w:r>
          </w:p>
        </w:tc>
        <w:tc>
          <w:tcPr>
            <w:tcW w:w="297" w:type="pct"/>
            <w:tcBorders>
              <w:top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不限</w:t>
            </w:r>
          </w:p>
        </w:tc>
        <w:tc>
          <w:tcPr>
            <w:tcW w:w="297" w:type="pct"/>
            <w:tcBorders>
              <w:top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结构化面试50%</w:t>
            </w:r>
          </w:p>
        </w:tc>
        <w:tc>
          <w:tcPr>
            <w:tcW w:w="654" w:type="pct"/>
            <w:tcBorders>
              <w:top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技师院校毕业生须持有机电控制类或机械工程类的高级工及以上职业资格证书或职业技能等级证书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36328"/>
    <w:rsid w:val="23C36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2021-06-29T08:57:00Z</dcterms:created>
  <dc:creator>滕飞</dc:creator>
  <cp:lastModifiedBy>滕飞</cp:lastModifiedBy>
  <dcterms:modified xsi:type="dcterms:W3CDTF">2021-06-29T08:57:15Z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23E302988DCE4534A7CA23B7E1A2D0DB</vt:lpwstr>
  </property>
</Properties>
</file>