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630"/>
        </w:tabs>
        <w:spacing w:beforeAutospacing="0" w:afterAutospacing="0" w:line="460" w:lineRule="exact"/>
        <w:rPr>
          <w:rFonts w:ascii="Times New Roman" w:hAnsi="Times New Roman" w:eastAsia="方正黑体_GBK" w:cs="宋体"/>
          <w:color w:val="auto"/>
          <w:sz w:val="24"/>
          <w:szCs w:val="24"/>
        </w:rPr>
      </w:pPr>
      <w:r>
        <w:rPr>
          <w:rFonts w:hint="eastAsia" w:ascii="Times New Roman" w:hAnsi="Times New Roman" w:eastAsia="方正黑体_GBK" w:cs="宋体"/>
          <w:color w:val="auto"/>
          <w:sz w:val="24"/>
          <w:szCs w:val="24"/>
          <w:lang w:val="en-US" w:eastAsia="zh-CN"/>
        </w:rPr>
        <w:t>附</w:t>
      </w:r>
      <w:bookmarkStart w:id="0" w:name="_GoBack"/>
      <w:bookmarkEnd w:id="0"/>
      <w:r>
        <w:rPr>
          <w:rFonts w:hint="eastAsia" w:ascii="Times New Roman" w:hAnsi="Times New Roman" w:eastAsia="方正黑体_GBK" w:cs="宋体"/>
          <w:color w:val="auto"/>
          <w:sz w:val="24"/>
          <w:szCs w:val="24"/>
        </w:rPr>
        <w:t>件</w:t>
      </w:r>
      <w:r>
        <w:rPr>
          <w:rFonts w:ascii="Times New Roman" w:hAnsi="Times New Roman" w:eastAsia="方正黑体_GBK" w:cs="宋体"/>
          <w:color w:val="auto"/>
          <w:sz w:val="24"/>
          <w:szCs w:val="24"/>
        </w:rPr>
        <w:t>1</w:t>
      </w:r>
    </w:p>
    <w:p>
      <w:pPr>
        <w:tabs>
          <w:tab w:val="left" w:pos="630"/>
        </w:tabs>
        <w:spacing w:line="640" w:lineRule="exact"/>
        <w:jc w:val="center"/>
        <w:rPr>
          <w:rFonts w:ascii="Times New Roman" w:hAnsi="Times New Roman" w:cs="宋体"/>
          <w:color w:val="auto"/>
          <w:sz w:val="28"/>
          <w:szCs w:val="28"/>
        </w:rPr>
      </w:pPr>
      <w:r>
        <w:rPr>
          <w:color w:val="auto"/>
          <w:sz w:val="18"/>
          <w:szCs w:val="21"/>
        </w:rPr>
        <w:fldChar w:fldCharType="begin"/>
      </w:r>
      <w:r>
        <w:rPr>
          <w:color w:val="auto"/>
          <w:sz w:val="18"/>
          <w:szCs w:val="21"/>
        </w:rPr>
        <w:instrText xml:space="preserve"> HYPERLINK "http://wsj.yancheng.gov.cn/module/download/downfile.jsp?classid=0&amp;filename=7ef1f6661d8d4742900c9eff9e2ce6f0.xls" </w:instrText>
      </w:r>
      <w:r>
        <w:rPr>
          <w:color w:val="auto"/>
          <w:sz w:val="18"/>
          <w:szCs w:val="21"/>
        </w:rPr>
        <w:fldChar w:fldCharType="separate"/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  <w:lang w:eastAsia="zh-CN"/>
        </w:rPr>
        <w:t>盐城市中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</w:rPr>
        <w:t>医院</w:t>
      </w:r>
      <w:r>
        <w:rPr>
          <w:rFonts w:ascii="Times New Roman" w:hAnsi="Times New Roman" w:eastAsia="方正小标宋_GBK" w:cs="黑体"/>
          <w:bCs/>
          <w:color w:val="auto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  <w:lang w:eastAsia="zh-CN"/>
        </w:rPr>
        <w:t>上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</w:rPr>
        <w:t>半年公开招聘编外专业技术人员岗位表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6"/>
          <w:szCs w:val="36"/>
        </w:rPr>
        <w:fldChar w:fldCharType="end"/>
      </w:r>
    </w:p>
    <w:tbl>
      <w:tblPr>
        <w:tblStyle w:val="4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50"/>
        <w:gridCol w:w="935"/>
        <w:gridCol w:w="485"/>
        <w:gridCol w:w="485"/>
        <w:gridCol w:w="1760"/>
        <w:gridCol w:w="1978"/>
        <w:gridCol w:w="3658"/>
        <w:gridCol w:w="849"/>
        <w:gridCol w:w="1232"/>
        <w:gridCol w:w="66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  <w:r>
              <w:rPr>
                <w:rStyle w:val="7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岗位代码</w:t>
            </w:r>
            <w:r>
              <w:rPr>
                <w:rStyle w:val="7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考试形式及所占比例</w:t>
            </w: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（胸外科）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1:3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全日制普通高校本科及以上学历，具有相应学位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1.年龄30周岁及以下,中级职称者年龄放宽至35周岁；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联系人：黄莺，电话：0515-88166308，邮箱：ycszyyrsk@163.com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（泌尿外科）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临床医学、外科学、中西医结合临床、中西医临床医学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（普外科）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肺病科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肿瘤科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从事放疗技术方向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麻醉科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临床医学、中医学、中西医结合临床、中西医临床医学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全日制普通高校本科及以上学历，具有相应学位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联系人：黄莺，电话：0515-88166308，邮箱：ycszyyrsk@163.com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（心电图室）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2.取得执业医师资格(2021届、2022届毕业生，暂不作要求）。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放射科A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检验科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病理科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1:3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功能科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（B超室）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药剂科A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药学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药剂科B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宣传统战科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全日制普通高校本科及以上学历，具有相应学位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电视传媒、新闻学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纪检办公室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法律、法学、法律（法学）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联系人：黄莺，电话：0515-88166308，邮箱：ycszyyrsk@163.com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院内感染管理科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临床医学、中医学、中西医结合临床、预防医学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计财科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1:2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全日制普通高校硕士学历，具有相应学位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会计学、财务管理专业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2.第一学历需为全日制本科学历。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面试100%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计财科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（收费岗位）</w:t>
            </w:r>
          </w:p>
        </w:tc>
        <w:tc>
          <w:tcPr>
            <w:tcW w:w="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1:3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全日制普通高校本科及以上学历，具有相应学位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会计学、财务管理专业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年龄30周岁及以下,中级职称者年龄放宽至35周岁。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总务科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机械工程及自动化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年龄35周岁及以下；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2.具有3年及以上电、气、机械工程等相关工作经历。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盐城市中医院</w:t>
            </w:r>
          </w:p>
        </w:tc>
        <w:tc>
          <w:tcPr>
            <w:tcW w:w="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放射科B</w:t>
            </w:r>
          </w:p>
        </w:tc>
        <w:tc>
          <w:tcPr>
            <w:tcW w:w="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sz w:val="15"/>
                <w:szCs w:val="15"/>
                <w:lang w:val="en-US" w:eastAsia="zh-CN" w:bidi="ar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年龄30周岁及以下,中级职称者年龄放宽至35周岁；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</w:t>
            </w:r>
            <w:r>
              <w:rPr>
                <w:rStyle w:val="9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  <w:t>1个及以上医用设备使用人员业务能力考评成绩合格证明者</w:t>
            </w:r>
            <w:r>
              <w:rPr>
                <w:rStyle w:val="9"/>
                <w:rFonts w:hint="eastAsia" w:ascii="宋体" w:hAnsi="宋体" w:cs="宋体"/>
                <w:sz w:val="15"/>
                <w:szCs w:val="15"/>
                <w:lang w:val="en-US" w:eastAsia="zh-CN" w:bidi="ar"/>
              </w:rPr>
              <w:t>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笔试50%、结构化面试50%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4A29"/>
    <w:rsid w:val="5B9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2022-01-18T08:03:00Z</dcterms:created>
  <dc:creator>滕飞</dc:creator>
  <cp:lastModifiedBy>滕飞</cp:lastModifiedBy>
  <dcterms:modified xsi:type="dcterms:W3CDTF">2022-01-18T08:03:43Z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4424AD5CB62043FF901E1D845795005E</vt:lpwstr>
  </property>
</Properties>
</file>