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盐城市农业农村局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公开招</w:t>
      </w:r>
      <w:r>
        <w:rPr>
          <w:rFonts w:hint="eastAsia" w:ascii="方正小标宋_GBK" w:hAnsi="方正小标宋_GBK" w:eastAsia="方正小标宋_GBK" w:cs="方正小标宋_GBK"/>
          <w:sz w:val="44"/>
          <w:szCs w:val="44"/>
          <w:lang w:val="en-US" w:eastAsia="zh-CN"/>
        </w:rPr>
        <w:t>录7</w:t>
      </w:r>
      <w:r>
        <w:rPr>
          <w:rFonts w:hint="eastAsia" w:ascii="方正小标宋_GBK" w:hAnsi="方正小标宋_GBK" w:eastAsia="方正小标宋_GBK" w:cs="方正小标宋_GBK"/>
          <w:sz w:val="44"/>
          <w:szCs w:val="44"/>
        </w:rPr>
        <w:t>名政府购买服务用工的公告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因工作需要，</w:t>
      </w:r>
      <w:r>
        <w:rPr>
          <w:rFonts w:hint="eastAsia" w:ascii="Times New Roman" w:hAnsi="Times New Roman" w:eastAsia="方正仿宋_GBK" w:cs="Times New Roman"/>
          <w:sz w:val="32"/>
          <w:szCs w:val="32"/>
        </w:rPr>
        <w:t>盐城市农业农村局</w:t>
      </w:r>
      <w:r>
        <w:rPr>
          <w:rFonts w:ascii="Times New Roman" w:hAnsi="Times New Roman" w:eastAsia="方正仿宋_GBK" w:cs="Times New Roman"/>
          <w:sz w:val="32"/>
          <w:szCs w:val="32"/>
        </w:rPr>
        <w:t>下属参公事业单位盐城市农业综合行政执法监督局面向社会公开招</w:t>
      </w:r>
      <w:r>
        <w:rPr>
          <w:rFonts w:hint="eastAsia" w:ascii="Times New Roman" w:hAnsi="Times New Roman" w:eastAsia="方正仿宋_GBK" w:cs="Times New Roman"/>
          <w:sz w:val="32"/>
          <w:szCs w:val="32"/>
          <w:lang w:val="en-US" w:eastAsia="zh-CN"/>
        </w:rPr>
        <w:t>录7</w:t>
      </w:r>
      <w:r>
        <w:rPr>
          <w:rFonts w:ascii="Times New Roman" w:hAnsi="Times New Roman" w:eastAsia="方正仿宋_GBK" w:cs="Times New Roman"/>
          <w:sz w:val="32"/>
          <w:szCs w:val="32"/>
        </w:rPr>
        <w:t>名政府购买服务用工</w:t>
      </w:r>
      <w:r>
        <w:rPr>
          <w:rFonts w:hint="eastAsia" w:ascii="Times New Roman" w:hAnsi="Times New Roman" w:eastAsia="方正仿宋_GBK" w:cs="Times New Roman"/>
          <w:sz w:val="32"/>
          <w:szCs w:val="32"/>
        </w:rPr>
        <w:t>（普通船员）</w:t>
      </w:r>
      <w:r>
        <w:rPr>
          <w:rFonts w:ascii="Times New Roman" w:hAnsi="Times New Roman" w:eastAsia="方正仿宋_GBK" w:cs="Times New Roman"/>
          <w:sz w:val="32"/>
          <w:szCs w:val="32"/>
        </w:rPr>
        <w:t>，现将有关事项公告如下：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一、招</w:t>
      </w:r>
      <w:r>
        <w:rPr>
          <w:rFonts w:hint="eastAsia" w:ascii="方正黑体_GBK" w:hAnsi="方正黑体_GBK" w:eastAsia="方正黑体_GBK" w:cs="方正黑体_GBK"/>
          <w:sz w:val="32"/>
          <w:szCs w:val="32"/>
          <w:lang w:val="en-US" w:eastAsia="zh-CN"/>
        </w:rPr>
        <w:t>录</w:t>
      </w:r>
      <w:r>
        <w:rPr>
          <w:rFonts w:hint="eastAsia" w:ascii="方正黑体_GBK" w:hAnsi="方正黑体_GBK" w:eastAsia="方正黑体_GBK" w:cs="方正黑体_GBK"/>
          <w:sz w:val="32"/>
          <w:szCs w:val="32"/>
        </w:rPr>
        <w:t>岗位及资格条件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（一）招</w:t>
      </w:r>
      <w:r>
        <w:rPr>
          <w:rFonts w:hint="eastAsia" w:ascii="方正楷体_GBK" w:hAnsi="方正楷体_GBK" w:eastAsia="方正楷体_GBK" w:cs="方正楷体_GBK"/>
          <w:b/>
          <w:bCs/>
          <w:sz w:val="32"/>
          <w:szCs w:val="32"/>
          <w:lang w:val="en-US" w:eastAsia="zh-CN"/>
        </w:rPr>
        <w:t>录</w:t>
      </w:r>
      <w:r>
        <w:rPr>
          <w:rFonts w:hint="eastAsia" w:ascii="方正楷体_GBK" w:hAnsi="方正楷体_GBK" w:eastAsia="方正楷体_GBK" w:cs="方正楷体_GBK"/>
          <w:b/>
          <w:bCs/>
          <w:sz w:val="32"/>
          <w:szCs w:val="32"/>
        </w:rPr>
        <w:t>岗位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盐城市农业农村局下属参公事业单位盐城市农业综合行政执法监督局劳动合同制普通船员</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名（海洋执法辅助）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人员性质为政府购买服务用工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工作地点：渔政执法船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驻港停泊地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射阳县黄沙港镇。</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w:t>
      </w:r>
      <w:r>
        <w:rPr>
          <w:rFonts w:ascii="方正楷体_GBK" w:hAnsi="方正楷体_GBK" w:eastAsia="方正楷体_GBK" w:cs="方正楷体_GBK"/>
          <w:b/>
          <w:bCs/>
          <w:sz w:val="32"/>
          <w:szCs w:val="32"/>
        </w:rPr>
        <w:t>资格条件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具有中华人民共和国国籍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拥护中国共产党领导和社会主义制度</w:t>
      </w:r>
      <w:r>
        <w:rPr>
          <w:rFonts w:hint="eastAsia" w:ascii="Times New Roman" w:hAnsi="Times New Roman" w:eastAsia="方正仿宋_GBK" w:cs="Times New Roman"/>
          <w:sz w:val="32"/>
          <w:szCs w:val="32"/>
        </w:rPr>
        <w:t>，拥护党的路线方针政策。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遵纪守法、品行端正、爱岗敬业、吃苦耐劳，政治素养好，有较强的责任意识和团队合作精神。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3．身体健康，具有舰艇部队服役2年以上经历的退伍军人优先录用；射阳县籍、盐城市籍人员优先录用；中共党员优先录用。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高中（中专）</w:t>
      </w:r>
      <w:r>
        <w:rPr>
          <w:rFonts w:hint="eastAsia" w:ascii="Times New Roman" w:hAnsi="Times New Roman" w:eastAsia="方正仿宋_GBK" w:cs="Times New Roman"/>
          <w:sz w:val="32"/>
          <w:szCs w:val="32"/>
          <w:lang w:val="en-US" w:eastAsia="zh-CN"/>
        </w:rPr>
        <w:t>及</w:t>
      </w:r>
      <w:r>
        <w:rPr>
          <w:rFonts w:ascii="Times New Roman" w:hAnsi="Times New Roman" w:eastAsia="方正仿宋_GBK" w:cs="Times New Roman"/>
          <w:sz w:val="32"/>
          <w:szCs w:val="32"/>
        </w:rPr>
        <w:t>以上文化程度，会电脑操作。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需持有年审有效的渔业或海事部门核发的船员证书，舰艇部队服役退伍军人提供退伍证明。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适合男性，</w:t>
      </w:r>
      <w:r>
        <w:rPr>
          <w:rFonts w:hint="eastAsia" w:ascii="Times New Roman" w:hAnsi="Times New Roman" w:eastAsia="方正仿宋_GBK" w:cs="Times New Roman"/>
          <w:sz w:val="32"/>
          <w:szCs w:val="32"/>
          <w:lang w:eastAsia="zh-CN"/>
        </w:rPr>
        <w:t>体格强壮，</w:t>
      </w:r>
      <w:r>
        <w:rPr>
          <w:rFonts w:ascii="Times New Roman" w:hAnsi="Times New Roman" w:eastAsia="方正仿宋_GBK" w:cs="Times New Roman"/>
          <w:sz w:val="32"/>
          <w:szCs w:val="32"/>
        </w:rPr>
        <w:t>能适应常年出海工作，具备正常履职的身体条件（需通过体能</w:t>
      </w:r>
      <w:r>
        <w:rPr>
          <w:rFonts w:hint="eastAsia" w:ascii="Times New Roman" w:hAnsi="Times New Roman" w:eastAsia="方正仿宋_GBK" w:cs="Times New Roman"/>
          <w:sz w:val="32"/>
          <w:szCs w:val="32"/>
          <w:lang w:eastAsia="zh-CN"/>
        </w:rPr>
        <w:t>检测</w:t>
      </w:r>
      <w:r>
        <w:rPr>
          <w:rFonts w:ascii="Times New Roman" w:hAnsi="Times New Roman" w:eastAsia="方正仿宋_GBK" w:cs="Times New Roman"/>
          <w:sz w:val="32"/>
          <w:szCs w:val="32"/>
        </w:rPr>
        <w:t>，自由泳50米，俯卧撑一分钟30个以上，5000米24分钟以内）。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ascii="方正黑体_GBK" w:hAnsi="方正黑体_GBK" w:eastAsia="方正黑体_GBK" w:cs="方正黑体_GBK"/>
          <w:sz w:val="32"/>
          <w:szCs w:val="32"/>
        </w:rPr>
        <w:t>、报名及资格审核</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（一）报名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．报名方式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报名</w:t>
      </w:r>
      <w:r>
        <w:rPr>
          <w:rFonts w:hint="eastAsia" w:ascii="Times New Roman" w:hAnsi="Times New Roman" w:eastAsia="方正仿宋_GBK" w:cs="Times New Roman"/>
          <w:sz w:val="32"/>
          <w:szCs w:val="32"/>
        </w:rPr>
        <w:t>人员</w:t>
      </w:r>
      <w:r>
        <w:rPr>
          <w:rFonts w:ascii="Times New Roman" w:hAnsi="Times New Roman" w:eastAsia="方正仿宋_GBK" w:cs="Times New Roman"/>
          <w:sz w:val="32"/>
          <w:szCs w:val="32"/>
        </w:rPr>
        <w:t>现场</w:t>
      </w:r>
      <w:r>
        <w:rPr>
          <w:rFonts w:hint="eastAsia" w:ascii="Times New Roman" w:hAnsi="Times New Roman" w:eastAsia="方正仿宋_GBK" w:cs="Times New Roman"/>
          <w:sz w:val="32"/>
          <w:szCs w:val="32"/>
        </w:rPr>
        <w:t>报名，</w:t>
      </w:r>
      <w:r>
        <w:rPr>
          <w:rFonts w:ascii="Times New Roman" w:hAnsi="Times New Roman" w:eastAsia="方正仿宋_GBK" w:cs="Times New Roman"/>
          <w:sz w:val="32"/>
          <w:szCs w:val="32"/>
        </w:rPr>
        <w:t>须提供报名表和本人近期两寸免冠半身彩色近照</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张及以下材料的原件、复印件：身份证、毕业证书、相关资格证书</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获奖证书。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．报名时间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24</w:t>
      </w:r>
      <w:r>
        <w:rPr>
          <w:rFonts w:ascii="Times New Roman" w:hAnsi="Times New Roman" w:eastAsia="方正仿宋_GBK" w:cs="Times New Roman"/>
          <w:sz w:val="32"/>
          <w:szCs w:val="32"/>
        </w:rPr>
        <w:t>日至</w:t>
      </w:r>
      <w:r>
        <w:rPr>
          <w:rFonts w:hint="eastAsia" w:ascii="Times New Roman" w:hAnsi="Times New Roman" w:eastAsia="方正仿宋_GBK" w:cs="Times New Roman"/>
          <w:sz w:val="32"/>
          <w:szCs w:val="32"/>
          <w:lang w:val="en-US" w:eastAsia="zh-CN"/>
        </w:rPr>
        <w:t>8月11</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上午8</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30至12:00，下午2:30至6:00</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节假日除外</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．报名地点：盐城市农业农村局组织人事处（盐城市</w:t>
      </w:r>
      <w:r>
        <w:rPr>
          <w:rFonts w:hint="eastAsia" w:ascii="Times New Roman" w:hAnsi="Times New Roman" w:eastAsia="方正仿宋_GBK" w:cs="Times New Roman"/>
          <w:sz w:val="32"/>
          <w:szCs w:val="32"/>
          <w:lang w:val="en-US" w:eastAsia="zh-CN"/>
        </w:rPr>
        <w:t>亭湖区</w:t>
      </w:r>
      <w:r>
        <w:rPr>
          <w:rFonts w:ascii="Times New Roman" w:hAnsi="Times New Roman" w:eastAsia="方正仿宋_GBK" w:cs="Times New Roman"/>
          <w:sz w:val="32"/>
          <w:szCs w:val="32"/>
        </w:rPr>
        <w:t>文港中路106号505室）。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val="en-US" w:eastAsia="zh-CN"/>
        </w:rPr>
        <w:t>曹晓杰</w:t>
      </w:r>
      <w:r>
        <w:rPr>
          <w:rFonts w:ascii="Times New Roman" w:hAnsi="Times New Roman" w:eastAsia="方正仿宋_GBK" w:cs="Times New Roman"/>
          <w:sz w:val="32"/>
          <w:szCs w:val="32"/>
        </w:rPr>
        <w:t>，咨询电话：8</w:t>
      </w:r>
      <w:r>
        <w:rPr>
          <w:rFonts w:hint="eastAsia" w:ascii="Times New Roman" w:hAnsi="Times New Roman" w:eastAsia="方正仿宋_GBK" w:cs="Times New Roman"/>
          <w:sz w:val="32"/>
          <w:szCs w:val="32"/>
          <w:lang w:val="en-US" w:eastAsia="zh-CN"/>
        </w:rPr>
        <w:t>826</w:t>
      </w:r>
      <w:r>
        <w:rPr>
          <w:rFonts w:ascii="Times New Roman" w:hAnsi="Times New Roman" w:eastAsia="方正仿宋_GBK" w:cs="Times New Roman"/>
          <w:sz w:val="32"/>
          <w:szCs w:val="32"/>
        </w:rPr>
        <w:t>9505</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方正楷体_GBK" w:hAnsi="方正楷体_GBK" w:eastAsia="方正楷体_GBK" w:cs="方正楷体_GBK"/>
          <w:b/>
          <w:bCs/>
          <w:sz w:val="32"/>
          <w:szCs w:val="32"/>
        </w:rPr>
      </w:pPr>
      <w:r>
        <w:rPr>
          <w:rFonts w:ascii="方正楷体_GBK" w:hAnsi="方正楷体_GBK" w:eastAsia="方正楷体_GBK" w:cs="方正楷体_GBK"/>
          <w:b/>
          <w:bCs/>
          <w:sz w:val="32"/>
          <w:szCs w:val="32"/>
        </w:rPr>
        <w:t>（二）资格</w:t>
      </w:r>
      <w:r>
        <w:rPr>
          <w:rFonts w:hint="eastAsia" w:ascii="方正楷体_GBK" w:hAnsi="方正楷体_GBK" w:eastAsia="方正楷体_GBK" w:cs="方正楷体_GBK"/>
          <w:b/>
          <w:bCs/>
          <w:sz w:val="32"/>
          <w:szCs w:val="32"/>
        </w:rPr>
        <w:t>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报名人员须如实填写报名信息，并对所提交材料的真实性、准确性、完整性、有效性负责。盐城市农业农村局依据招</w:t>
      </w:r>
      <w:r>
        <w:rPr>
          <w:rFonts w:hint="eastAsia" w:ascii="Times New Roman" w:hAnsi="Times New Roman" w:eastAsia="方正仿宋_GBK" w:cs="Times New Roman"/>
          <w:sz w:val="32"/>
          <w:szCs w:val="32"/>
          <w:lang w:val="en-US" w:eastAsia="zh-CN"/>
        </w:rPr>
        <w:t>录</w:t>
      </w:r>
      <w:r>
        <w:rPr>
          <w:rFonts w:hint="eastAsia" w:ascii="Times New Roman" w:hAnsi="Times New Roman" w:eastAsia="方正仿宋_GBK" w:cs="Times New Roman"/>
          <w:sz w:val="32"/>
          <w:szCs w:val="32"/>
        </w:rPr>
        <w:t>条件和要求，对报名人员进行资格审核，资格审核贯穿招</w:t>
      </w:r>
      <w:r>
        <w:rPr>
          <w:rFonts w:hint="eastAsia" w:ascii="Times New Roman" w:hAnsi="Times New Roman" w:eastAsia="方正仿宋_GBK" w:cs="Times New Roman"/>
          <w:sz w:val="32"/>
          <w:szCs w:val="32"/>
          <w:lang w:val="en-US" w:eastAsia="zh-CN"/>
        </w:rPr>
        <w:t>录</w:t>
      </w:r>
      <w:r>
        <w:rPr>
          <w:rFonts w:hint="eastAsia" w:ascii="Times New Roman" w:hAnsi="Times New Roman" w:eastAsia="方正仿宋_GBK" w:cs="Times New Roman"/>
          <w:sz w:val="32"/>
          <w:szCs w:val="32"/>
        </w:rPr>
        <w:t>工作全过程，在任何环节，凡发现报考者弄虚作假的，一经查实，立即取消招</w:t>
      </w:r>
      <w:r>
        <w:rPr>
          <w:rFonts w:hint="eastAsia" w:ascii="Times New Roman" w:hAnsi="Times New Roman" w:eastAsia="方正仿宋_GBK" w:cs="Times New Roman"/>
          <w:sz w:val="32"/>
          <w:szCs w:val="32"/>
          <w:lang w:val="en-US" w:eastAsia="zh-CN"/>
        </w:rPr>
        <w:t>录</w:t>
      </w:r>
      <w:r>
        <w:rPr>
          <w:rFonts w:hint="eastAsia" w:ascii="Times New Roman" w:hAnsi="Times New Roman" w:eastAsia="方正仿宋_GBK" w:cs="Times New Roman"/>
          <w:sz w:val="32"/>
          <w:szCs w:val="32"/>
        </w:rPr>
        <w:t>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w:t>
      </w:r>
      <w:r>
        <w:rPr>
          <w:rFonts w:ascii="方正黑体_GBK" w:hAnsi="方正黑体_GBK" w:eastAsia="方正黑体_GBK" w:cs="方正黑体_GBK"/>
          <w:sz w:val="32"/>
          <w:szCs w:val="32"/>
        </w:rPr>
        <w:t>、考试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考试采取面试（</w:t>
      </w:r>
      <w:r>
        <w:rPr>
          <w:rFonts w:hint="eastAsia" w:ascii="Times New Roman" w:hAnsi="Times New Roman" w:eastAsia="方正仿宋_GBK" w:cs="Times New Roman"/>
          <w:sz w:val="32"/>
          <w:szCs w:val="32"/>
          <w:lang w:eastAsia="zh-CN"/>
        </w:rPr>
        <w:t>体能检测和现场测试</w:t>
      </w:r>
      <w:r>
        <w:rPr>
          <w:rFonts w:hint="eastAsia" w:ascii="Times New Roman" w:hAnsi="Times New Roman" w:eastAsia="方正仿宋_GBK" w:cs="Times New Roman"/>
          <w:sz w:val="32"/>
          <w:szCs w:val="32"/>
        </w:rPr>
        <w:t>两项）形式，</w:t>
      </w:r>
      <w:r>
        <w:rPr>
          <w:rFonts w:hint="eastAsia" w:ascii="Times New Roman" w:hAnsi="Times New Roman" w:eastAsia="方正仿宋_GBK" w:cs="Times New Roman"/>
          <w:sz w:val="32"/>
          <w:szCs w:val="32"/>
          <w:lang w:eastAsia="zh-CN"/>
        </w:rPr>
        <w:t>体能检测合格者参加现场测试，</w:t>
      </w:r>
      <w:r>
        <w:rPr>
          <w:rFonts w:hint="eastAsia" w:ascii="Times New Roman" w:hAnsi="Times New Roman" w:eastAsia="方正仿宋_GBK" w:cs="Times New Roman"/>
          <w:sz w:val="32"/>
          <w:szCs w:val="32"/>
        </w:rPr>
        <w:t>按照成绩从高到低排序，主要测试应试者履行职位所要求的基本素质和能力。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面试具体时间、地点另行通知。考生须保持电话畅通，如报名者提供的联系方式无法联系上本人，相关后果由报名者负责。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w:t>
      </w:r>
      <w:r>
        <w:rPr>
          <w:rFonts w:ascii="方正黑体_GBK" w:hAnsi="方正黑体_GBK" w:eastAsia="方正黑体_GBK" w:cs="方正黑体_GBK"/>
          <w:sz w:val="32"/>
          <w:szCs w:val="32"/>
        </w:rPr>
        <w:t>、体检和考察</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方正楷体_GBK" w:hAnsi="方正楷体_GBK" w:eastAsia="方正楷体_GBK" w:cs="方正楷体_GBK"/>
          <w:b/>
          <w:bCs/>
          <w:sz w:val="32"/>
          <w:szCs w:val="32"/>
        </w:rPr>
      </w:pPr>
      <w:r>
        <w:rPr>
          <w:rFonts w:ascii="方正楷体_GBK" w:hAnsi="方正楷体_GBK" w:eastAsia="方正楷体_GBK" w:cs="方正楷体_GBK"/>
          <w:b/>
          <w:bCs/>
          <w:sz w:val="32"/>
          <w:szCs w:val="32"/>
        </w:rPr>
        <w:t>（一）体检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根据应聘人</w:t>
      </w:r>
      <w:r>
        <w:rPr>
          <w:rFonts w:hint="eastAsia" w:ascii="Times New Roman" w:hAnsi="Times New Roman" w:eastAsia="方正仿宋_GBK" w:cs="Times New Roman"/>
          <w:sz w:val="32"/>
          <w:szCs w:val="32"/>
        </w:rPr>
        <w:t>员</w:t>
      </w:r>
      <w:r>
        <w:rPr>
          <w:rFonts w:hint="eastAsia" w:ascii="Times New Roman" w:hAnsi="Times New Roman" w:eastAsia="方正仿宋_GBK" w:cs="Times New Roman"/>
          <w:sz w:val="32"/>
          <w:szCs w:val="32"/>
          <w:lang w:eastAsia="zh-CN"/>
        </w:rPr>
        <w:t>现场测试</w:t>
      </w:r>
      <w:r>
        <w:rPr>
          <w:rFonts w:hint="eastAsia" w:ascii="Times New Roman" w:hAnsi="Times New Roman" w:eastAsia="方正仿宋_GBK" w:cs="Times New Roman"/>
          <w:sz w:val="32"/>
          <w:szCs w:val="32"/>
        </w:rPr>
        <w:t>成绩从</w:t>
      </w:r>
      <w:r>
        <w:rPr>
          <w:rFonts w:ascii="Times New Roman" w:hAnsi="Times New Roman" w:eastAsia="方正仿宋_GBK" w:cs="Times New Roman"/>
          <w:sz w:val="32"/>
          <w:szCs w:val="32"/>
        </w:rPr>
        <w:t>高到低排序，按拟招</w:t>
      </w:r>
      <w:r>
        <w:rPr>
          <w:rFonts w:hint="eastAsia" w:ascii="Times New Roman" w:hAnsi="Times New Roman" w:eastAsia="方正仿宋_GBK" w:cs="Times New Roman"/>
          <w:sz w:val="32"/>
          <w:szCs w:val="32"/>
          <w:lang w:val="en-US" w:eastAsia="zh-CN"/>
        </w:rPr>
        <w:t>录</w:t>
      </w:r>
      <w:r>
        <w:rPr>
          <w:rFonts w:ascii="Times New Roman" w:hAnsi="Times New Roman" w:eastAsia="方正仿宋_GBK" w:cs="Times New Roman"/>
          <w:sz w:val="32"/>
          <w:szCs w:val="32"/>
        </w:rPr>
        <w:t>人数1:1的比例确定参加体检人选，体检标准参照《公务员录用体检通用标准（试行）》执行。因放弃体检或体检不合格形成的空缺从高分到低分依次递补。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方正楷体_GBK" w:hAnsi="方正楷体_GBK" w:eastAsia="方正楷体_GBK" w:cs="方正楷体_GBK"/>
          <w:b/>
          <w:bCs/>
          <w:sz w:val="32"/>
          <w:szCs w:val="32"/>
        </w:rPr>
      </w:pPr>
      <w:r>
        <w:rPr>
          <w:rFonts w:ascii="方正楷体_GBK" w:hAnsi="方正楷体_GBK" w:eastAsia="方正楷体_GBK" w:cs="方正楷体_GBK"/>
          <w:b/>
          <w:bCs/>
          <w:sz w:val="32"/>
          <w:szCs w:val="32"/>
        </w:rPr>
        <w:t>（二）考察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对体检合格人员进行组织考察，重点考察政治思想、道德品质、能力素质、遵纪守法、廉洁自律、职位匹配等方面的情况，</w:t>
      </w:r>
      <w:r>
        <w:rPr>
          <w:rFonts w:hint="eastAsia" w:ascii="Times New Roman" w:hAnsi="Times New Roman" w:eastAsia="方正仿宋_GBK" w:cs="Times New Roman"/>
          <w:sz w:val="32"/>
          <w:szCs w:val="32"/>
        </w:rPr>
        <w:t>报名材料弄虚作假，或者经考察认定不具备岗位要求的德才条件的，不予</w:t>
      </w:r>
      <w:r>
        <w:rPr>
          <w:rFonts w:hint="eastAsia" w:ascii="Times New Roman" w:hAnsi="Times New Roman" w:eastAsia="方正仿宋_GBK" w:cs="Times New Roman"/>
          <w:sz w:val="32"/>
          <w:szCs w:val="32"/>
          <w:lang w:val="en-US" w:eastAsia="zh-CN"/>
        </w:rPr>
        <w:t>录</w:t>
      </w:r>
      <w:r>
        <w:rPr>
          <w:rFonts w:hint="eastAsia" w:ascii="Times New Roman" w:hAnsi="Times New Roman" w:eastAsia="方正仿宋_GBK" w:cs="Times New Roman"/>
          <w:sz w:val="32"/>
          <w:szCs w:val="32"/>
        </w:rPr>
        <w:t>用。</w:t>
      </w:r>
      <w:r>
        <w:rPr>
          <w:rFonts w:ascii="Times New Roman" w:hAnsi="Times New Roman" w:eastAsia="方正仿宋_GBK" w:cs="Times New Roman"/>
          <w:sz w:val="32"/>
          <w:szCs w:val="32"/>
        </w:rPr>
        <w:t>因考察不</w:t>
      </w:r>
      <w:r>
        <w:rPr>
          <w:rFonts w:hint="eastAsia" w:ascii="Times New Roman" w:hAnsi="Times New Roman" w:eastAsia="方正仿宋_GBK" w:cs="Times New Roman"/>
          <w:sz w:val="32"/>
          <w:szCs w:val="32"/>
        </w:rPr>
        <w:t>合格</w:t>
      </w:r>
      <w:r>
        <w:rPr>
          <w:rFonts w:ascii="Times New Roman" w:hAnsi="Times New Roman" w:eastAsia="方正仿宋_GBK" w:cs="Times New Roman"/>
          <w:sz w:val="32"/>
          <w:szCs w:val="32"/>
        </w:rPr>
        <w:t>形成的空缺从高分到低分依次递补。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w:t>
      </w:r>
      <w:r>
        <w:rPr>
          <w:rFonts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录</w:t>
      </w:r>
      <w:r>
        <w:rPr>
          <w:rFonts w:ascii="方正黑体_GBK" w:hAnsi="方正黑体_GBK" w:eastAsia="方正黑体_GBK" w:cs="方正黑体_GBK"/>
          <w:sz w:val="32"/>
          <w:szCs w:val="32"/>
        </w:rPr>
        <w:t>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方正楷体_GBK" w:hAnsi="方正楷体_GBK" w:eastAsia="方正楷体_GBK" w:cs="方正楷体_GBK"/>
          <w:b/>
          <w:bCs/>
          <w:sz w:val="32"/>
          <w:szCs w:val="32"/>
        </w:rPr>
      </w:pPr>
      <w:r>
        <w:rPr>
          <w:rFonts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rPr>
        <w:t>一</w:t>
      </w:r>
      <w:r>
        <w:rPr>
          <w:rFonts w:ascii="方正楷体_GBK" w:hAnsi="方正楷体_GBK" w:eastAsia="方正楷体_GBK" w:cs="方正楷体_GBK"/>
          <w:b/>
          <w:bCs/>
          <w:sz w:val="32"/>
          <w:szCs w:val="32"/>
        </w:rPr>
        <w:t>）党委研究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根据考察情况，召开局党委会确定</w:t>
      </w:r>
      <w:r>
        <w:rPr>
          <w:rFonts w:hint="eastAsia" w:ascii="Times New Roman" w:hAnsi="Times New Roman" w:eastAsia="方正仿宋_GBK" w:cs="Times New Roman"/>
          <w:sz w:val="32"/>
          <w:szCs w:val="32"/>
        </w:rPr>
        <w:t>拟</w:t>
      </w:r>
      <w:r>
        <w:rPr>
          <w:rFonts w:hint="eastAsia" w:ascii="Times New Roman" w:hAnsi="Times New Roman" w:eastAsia="方正仿宋_GBK" w:cs="Times New Roman"/>
          <w:sz w:val="32"/>
          <w:szCs w:val="32"/>
          <w:lang w:val="en-US" w:eastAsia="zh-CN"/>
        </w:rPr>
        <w:t>录</w:t>
      </w:r>
      <w:r>
        <w:rPr>
          <w:rFonts w:ascii="Times New Roman" w:hAnsi="Times New Roman" w:eastAsia="方正仿宋_GBK" w:cs="Times New Roman"/>
          <w:sz w:val="32"/>
          <w:szCs w:val="32"/>
        </w:rPr>
        <w:t>用人员。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方正楷体_GBK" w:hAnsi="方正楷体_GBK" w:eastAsia="方正楷体_GBK" w:cs="方正楷体_GBK"/>
          <w:b/>
          <w:bCs/>
          <w:sz w:val="32"/>
          <w:szCs w:val="32"/>
        </w:rPr>
      </w:pPr>
      <w:r>
        <w:rPr>
          <w:rFonts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rPr>
        <w:t>二</w:t>
      </w:r>
      <w:r>
        <w:rPr>
          <w:rFonts w:ascii="方正楷体_GBK" w:hAnsi="方正楷体_GBK" w:eastAsia="方正楷体_GBK" w:cs="方正楷体_GBK"/>
          <w:b/>
          <w:bCs/>
          <w:sz w:val="32"/>
          <w:szCs w:val="32"/>
        </w:rPr>
        <w:t>）公示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拟</w:t>
      </w:r>
      <w:r>
        <w:rPr>
          <w:rFonts w:hint="eastAsia" w:ascii="Times New Roman" w:hAnsi="Times New Roman" w:eastAsia="方正仿宋_GBK" w:cs="Times New Roman"/>
          <w:sz w:val="32"/>
          <w:szCs w:val="32"/>
          <w:lang w:val="en-US" w:eastAsia="zh-CN"/>
        </w:rPr>
        <w:t>录</w:t>
      </w:r>
      <w:r>
        <w:rPr>
          <w:rFonts w:ascii="Times New Roman" w:hAnsi="Times New Roman" w:eastAsia="方正仿宋_GBK" w:cs="Times New Roman"/>
          <w:sz w:val="32"/>
          <w:szCs w:val="32"/>
        </w:rPr>
        <w:t>用人员名单在盐城市农业农村局网站公示，接受社会监督，公示期为5个工作日。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w:t>
      </w:r>
      <w:r>
        <w:rPr>
          <w:rFonts w:hint="eastAsia" w:ascii="方正楷体_GBK" w:hAnsi="方正楷体_GBK" w:eastAsia="方正楷体_GBK" w:cs="方正楷体_GBK"/>
          <w:b/>
          <w:bCs/>
          <w:sz w:val="32"/>
          <w:szCs w:val="32"/>
          <w:lang w:val="en-US" w:eastAsia="zh-CN"/>
        </w:rPr>
        <w:t>录</w:t>
      </w:r>
      <w:r>
        <w:rPr>
          <w:rFonts w:hint="eastAsia" w:ascii="方正楷体_GBK" w:hAnsi="方正楷体_GBK" w:eastAsia="方正楷体_GBK" w:cs="方正楷体_GBK"/>
          <w:b/>
          <w:bCs/>
          <w:sz w:val="32"/>
          <w:szCs w:val="32"/>
        </w:rPr>
        <w:t>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对公示无异议的拟</w:t>
      </w:r>
      <w:r>
        <w:rPr>
          <w:rFonts w:hint="eastAsia" w:ascii="Times New Roman" w:hAnsi="Times New Roman" w:eastAsia="方正仿宋_GBK" w:cs="Times New Roman"/>
          <w:sz w:val="32"/>
          <w:szCs w:val="32"/>
          <w:lang w:val="en-US" w:eastAsia="zh-CN"/>
        </w:rPr>
        <w:t>录</w:t>
      </w:r>
      <w:r>
        <w:rPr>
          <w:rFonts w:ascii="Times New Roman" w:hAnsi="Times New Roman" w:eastAsia="方正仿宋_GBK" w:cs="Times New Roman"/>
          <w:sz w:val="32"/>
          <w:szCs w:val="32"/>
        </w:rPr>
        <w:t>用人员，按照盐城市市级机关事业单位政府购买服务用工有关规定，按程序办理</w:t>
      </w:r>
      <w:r>
        <w:rPr>
          <w:rFonts w:hint="eastAsia" w:ascii="Times New Roman" w:hAnsi="Times New Roman" w:eastAsia="方正仿宋_GBK" w:cs="Times New Roman"/>
          <w:sz w:val="32"/>
          <w:szCs w:val="32"/>
          <w:lang w:val="en-US" w:eastAsia="zh-CN"/>
        </w:rPr>
        <w:t>录</w:t>
      </w:r>
      <w:r>
        <w:rPr>
          <w:rFonts w:ascii="Times New Roman" w:hAnsi="Times New Roman" w:eastAsia="方正仿宋_GBK" w:cs="Times New Roman"/>
          <w:sz w:val="32"/>
          <w:szCs w:val="32"/>
        </w:rPr>
        <w:t>用手续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与</w:t>
      </w:r>
      <w:r>
        <w:rPr>
          <w:rFonts w:hint="eastAsia" w:ascii="Times New Roman" w:hAnsi="Times New Roman" w:eastAsia="方正仿宋_GBK" w:cs="Times New Roman"/>
          <w:sz w:val="32"/>
          <w:szCs w:val="32"/>
          <w:lang w:val="en-US" w:eastAsia="zh-CN"/>
        </w:rPr>
        <w:t>我局签约</w:t>
      </w:r>
      <w:r>
        <w:rPr>
          <w:rFonts w:ascii="Times New Roman" w:hAnsi="Times New Roman" w:eastAsia="方正仿宋_GBK" w:cs="Times New Roman"/>
          <w:sz w:val="32"/>
          <w:szCs w:val="32"/>
        </w:rPr>
        <w:t>的劳务派遣机构</w:t>
      </w:r>
      <w:r>
        <w:rPr>
          <w:rFonts w:hint="eastAsia" w:ascii="Times New Roman" w:hAnsi="Times New Roman" w:eastAsia="方正仿宋_GBK" w:cs="Times New Roman"/>
          <w:sz w:val="32"/>
          <w:szCs w:val="32"/>
        </w:rPr>
        <w:t>签订</w:t>
      </w:r>
      <w:r>
        <w:rPr>
          <w:rFonts w:hint="eastAsia" w:ascii="Times New Roman" w:hAnsi="Times New Roman" w:eastAsia="方正仿宋_GBK" w:cs="Times New Roman"/>
          <w:sz w:val="32"/>
          <w:szCs w:val="32"/>
          <w:lang w:val="en-US" w:eastAsia="zh-CN"/>
        </w:rPr>
        <w:t>劳动合同</w:t>
      </w:r>
      <w:r>
        <w:rPr>
          <w:rFonts w:ascii="Times New Roman" w:hAnsi="Times New Roman" w:eastAsia="方正仿宋_GBK" w:cs="Times New Roman"/>
          <w:sz w:val="32"/>
          <w:szCs w:val="32"/>
        </w:rPr>
        <w:t>，工资待遇由劳务派遣机构按政府购买服务用工相关政策规定执行。</w:t>
      </w:r>
      <w:r>
        <w:rPr>
          <w:rFonts w:hint="eastAsia" w:ascii="Times New Roman" w:hAnsi="Times New Roman" w:eastAsia="方正仿宋_GBK" w:cs="Times New Roman"/>
          <w:sz w:val="32"/>
          <w:szCs w:val="32"/>
          <w:lang w:val="en-US" w:eastAsia="zh-CN"/>
        </w:rPr>
        <w:t>劳动合同到期，</w:t>
      </w:r>
      <w:r>
        <w:rPr>
          <w:rFonts w:ascii="Times New Roman" w:hAnsi="Times New Roman" w:eastAsia="方正仿宋_GBK" w:cs="Times New Roman"/>
          <w:sz w:val="32"/>
          <w:szCs w:val="32"/>
        </w:rPr>
        <w:t>考核不合格者，</w:t>
      </w:r>
      <w:r>
        <w:rPr>
          <w:rFonts w:hint="eastAsia" w:ascii="Times New Roman" w:hAnsi="Times New Roman" w:eastAsia="方正仿宋_GBK" w:cs="Times New Roman"/>
          <w:sz w:val="32"/>
          <w:szCs w:val="32"/>
          <w:lang w:val="en-US" w:eastAsia="zh-CN"/>
        </w:rPr>
        <w:t>终</w:t>
      </w:r>
      <w:r>
        <w:rPr>
          <w:rFonts w:ascii="Times New Roman" w:hAnsi="Times New Roman" w:eastAsia="方正仿宋_GBK" w:cs="Times New Roman"/>
          <w:sz w:val="32"/>
          <w:szCs w:val="32"/>
        </w:rPr>
        <w:t>止</w:t>
      </w:r>
      <w:r>
        <w:rPr>
          <w:rFonts w:hint="eastAsia" w:ascii="Times New Roman" w:hAnsi="Times New Roman" w:eastAsia="方正仿宋_GBK" w:cs="Times New Roman"/>
          <w:sz w:val="32"/>
          <w:szCs w:val="32"/>
          <w:lang w:val="en-US" w:eastAsia="zh-CN"/>
        </w:rPr>
        <w:t>录</w:t>
      </w:r>
      <w:r>
        <w:rPr>
          <w:rFonts w:ascii="Times New Roman" w:hAnsi="Times New Roman" w:eastAsia="方正仿宋_GBK" w:cs="Times New Roman"/>
          <w:sz w:val="32"/>
          <w:szCs w:val="32"/>
        </w:rPr>
        <w:t>用关系。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w:t>
      </w:r>
      <w:r>
        <w:rPr>
          <w:rFonts w:ascii="方正黑体_GBK" w:hAnsi="方正黑体_GBK" w:eastAsia="方正黑体_GBK" w:cs="方正黑体_GBK"/>
          <w:sz w:val="32"/>
          <w:szCs w:val="32"/>
        </w:rPr>
        <w:t>纪律与监督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招</w:t>
      </w:r>
      <w:r>
        <w:rPr>
          <w:rFonts w:hint="eastAsia" w:ascii="Times New Roman" w:hAnsi="Times New Roman" w:eastAsia="方正仿宋_GBK" w:cs="Times New Roman"/>
          <w:sz w:val="32"/>
          <w:szCs w:val="32"/>
          <w:lang w:val="en-US" w:eastAsia="zh-CN"/>
        </w:rPr>
        <w:t>录</w:t>
      </w:r>
      <w:r>
        <w:rPr>
          <w:rFonts w:ascii="Times New Roman" w:hAnsi="Times New Roman" w:eastAsia="方正仿宋_GBK" w:cs="Times New Roman"/>
          <w:sz w:val="32"/>
          <w:szCs w:val="32"/>
        </w:rPr>
        <w:t>工作贯彻</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公开、平等、竞争、择优</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的原则。严肃纪律，秉公办事，杜绝弄虚作假、徇私舞弊行为的发生。凡违反招</w:t>
      </w:r>
      <w:r>
        <w:rPr>
          <w:rFonts w:hint="eastAsia" w:ascii="Times New Roman" w:hAnsi="Times New Roman" w:eastAsia="方正仿宋_GBK" w:cs="Times New Roman"/>
          <w:sz w:val="32"/>
          <w:szCs w:val="32"/>
          <w:lang w:val="en-US" w:eastAsia="zh-CN"/>
        </w:rPr>
        <w:t>录</w:t>
      </w:r>
      <w:r>
        <w:rPr>
          <w:rFonts w:ascii="Times New Roman" w:hAnsi="Times New Roman" w:eastAsia="方正仿宋_GBK" w:cs="Times New Roman"/>
          <w:sz w:val="32"/>
          <w:szCs w:val="32"/>
        </w:rPr>
        <w:t>工作规定、弄虚作假的，一经发现，相关工作人员给予纪律处分，应聘人员取消报考或</w:t>
      </w:r>
      <w:r>
        <w:rPr>
          <w:rFonts w:hint="eastAsia" w:ascii="Times New Roman" w:hAnsi="Times New Roman" w:eastAsia="方正仿宋_GBK" w:cs="Times New Roman"/>
          <w:sz w:val="32"/>
          <w:szCs w:val="32"/>
          <w:lang w:val="en-US" w:eastAsia="zh-CN"/>
        </w:rPr>
        <w:t>录</w:t>
      </w:r>
      <w:r>
        <w:rPr>
          <w:rFonts w:ascii="Times New Roman" w:hAnsi="Times New Roman" w:eastAsia="方正仿宋_GBK" w:cs="Times New Roman"/>
          <w:sz w:val="32"/>
          <w:szCs w:val="32"/>
        </w:rPr>
        <w:t>用资格。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监督电话：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0515-80501643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盐城市纪委监委第十派驻纪检监察组</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0515-805007</w:t>
      </w:r>
      <w:r>
        <w:rPr>
          <w:rFonts w:hint="eastAsia" w:ascii="Times New Roman" w:hAnsi="Times New Roman" w:eastAsia="方正仿宋_GBK" w:cs="Times New Roman"/>
          <w:sz w:val="32"/>
          <w:szCs w:val="32"/>
          <w:lang w:val="en-US" w:eastAsia="zh-CN"/>
        </w:rPr>
        <w:t>50</w:t>
      </w:r>
      <w:r>
        <w:rPr>
          <w:rFonts w:ascii="Times New Roman" w:hAnsi="Times New Roman" w:eastAsia="方正仿宋_GBK" w:cs="Times New Roman"/>
          <w:sz w:val="32"/>
          <w:szCs w:val="32"/>
        </w:rPr>
        <w:t>（盐城市人社局</w:t>
      </w:r>
      <w:r>
        <w:rPr>
          <w:rFonts w:hint="eastAsia" w:ascii="Times New Roman" w:hAnsi="Times New Roman" w:eastAsia="方正仿宋_GBK" w:cs="Times New Roman"/>
          <w:sz w:val="32"/>
          <w:szCs w:val="32"/>
        </w:rPr>
        <w:t>劳动关系和监察</w:t>
      </w:r>
      <w:r>
        <w:rPr>
          <w:rFonts w:ascii="Times New Roman" w:hAnsi="Times New Roman" w:eastAsia="方正仿宋_GBK" w:cs="Times New Roman"/>
          <w:sz w:val="32"/>
          <w:szCs w:val="32"/>
        </w:rPr>
        <w:t>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咨询电话：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0515-8</w:t>
      </w:r>
      <w:r>
        <w:rPr>
          <w:rFonts w:hint="eastAsia" w:ascii="Times New Roman" w:hAnsi="Times New Roman" w:eastAsia="方正仿宋_GBK" w:cs="Times New Roman"/>
          <w:sz w:val="32"/>
          <w:szCs w:val="32"/>
          <w:lang w:val="en-US" w:eastAsia="zh-CN"/>
        </w:rPr>
        <w:t>826</w:t>
      </w:r>
      <w:r>
        <w:rPr>
          <w:rFonts w:ascii="Times New Roman" w:hAnsi="Times New Roman" w:eastAsia="方正仿宋_GBK" w:cs="Times New Roman"/>
          <w:sz w:val="32"/>
          <w:szCs w:val="32"/>
        </w:rPr>
        <w:t>9505（盐城市农业农村局组织人事处）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附件：盐城市农业农村局公开招聘政府购买服务人员报名表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盐城市农业农村局</w:t>
      </w:r>
    </w:p>
    <w:p>
      <w:pPr>
        <w:keepNext w:val="0"/>
        <w:keepLines w:val="0"/>
        <w:pageBreakBefore w:val="0"/>
        <w:widowControl w:val="0"/>
        <w:kinsoku/>
        <w:wordWrap/>
        <w:overflowPunct/>
        <w:topLinePunct w:val="0"/>
        <w:autoSpaceDE/>
        <w:autoSpaceDN/>
        <w:bidi w:val="0"/>
        <w:adjustRightInd/>
        <w:snapToGrid/>
        <w:spacing w:line="540" w:lineRule="exact"/>
        <w:ind w:firstLine="5120" w:firstLineChars="16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2023年7月20</w:t>
      </w:r>
      <w:bookmarkStart w:id="0" w:name="_GoBack"/>
      <w:bookmarkEnd w:id="0"/>
      <w:r>
        <w:rPr>
          <w:rFonts w:hint="eastAsia" w:ascii="Times New Roman" w:hAnsi="Times New Roman" w:eastAsia="方正仿宋_GBK" w:cs="Times New Roman"/>
          <w:sz w:val="32"/>
          <w:szCs w:val="32"/>
          <w:lang w:val="en-US" w:eastAsia="zh-CN"/>
        </w:rPr>
        <w:t>日</w:t>
      </w:r>
    </w:p>
    <w:p>
      <w:pPr>
        <w:spacing w:line="560" w:lineRule="exact"/>
        <w:rPr>
          <w:rFonts w:ascii="Times New Roman" w:hAnsi="Times New Roman" w:eastAsia="方正仿宋_GBK" w:cs="Times New Roman"/>
          <w:sz w:val="32"/>
          <w:szCs w:val="32"/>
        </w:rPr>
      </w:pPr>
    </w:p>
    <w:p>
      <w:pPr>
        <w:widowControl/>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盐城市农业农村局公开招聘政府购买服务人员报 名 表</w:t>
      </w:r>
    </w:p>
    <w:tbl>
      <w:tblPr>
        <w:tblStyle w:val="5"/>
        <w:tblpPr w:leftFromText="180" w:rightFromText="180" w:vertAnchor="text" w:horzAnchor="page" w:tblpX="1465" w:tblpY="274"/>
        <w:tblOverlap w:val="never"/>
        <w:tblW w:w="927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064"/>
        <w:gridCol w:w="965"/>
        <w:gridCol w:w="100"/>
        <w:gridCol w:w="1017"/>
        <w:gridCol w:w="316"/>
        <w:gridCol w:w="1117"/>
        <w:gridCol w:w="124"/>
        <w:gridCol w:w="569"/>
        <w:gridCol w:w="450"/>
        <w:gridCol w:w="290"/>
        <w:gridCol w:w="518"/>
        <w:gridCol w:w="549"/>
        <w:gridCol w:w="22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0" w:hRule="atLeast"/>
        </w:trPr>
        <w:tc>
          <w:tcPr>
            <w:tcW w:w="1064" w:type="dxa"/>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姓</w:t>
            </w:r>
            <w:r>
              <w:rPr>
                <w:rFonts w:hint="eastAsia" w:asciiTheme="minorEastAsia" w:hAnsiTheme="minorEastAsia" w:cstheme="minorEastAsia"/>
                <w:sz w:val="24"/>
              </w:rPr>
              <w:t xml:space="preserve"> </w:t>
            </w:r>
            <w:r>
              <w:rPr>
                <w:rFonts w:asciiTheme="minorEastAsia" w:hAnsiTheme="minorEastAsia" w:cstheme="minorEastAsia"/>
                <w:sz w:val="24"/>
              </w:rPr>
              <w:t>名</w:t>
            </w:r>
          </w:p>
        </w:tc>
        <w:tc>
          <w:tcPr>
            <w:tcW w:w="1065"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1333"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性 别</w:t>
            </w:r>
          </w:p>
        </w:tc>
        <w:tc>
          <w:tcPr>
            <w:tcW w:w="1241"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imes New Roman" w:hAnsi="Times New Roman" w:cs="Times New Roman"/>
                <w:sz w:val="24"/>
              </w:rPr>
            </w:pPr>
          </w:p>
        </w:tc>
        <w:tc>
          <w:tcPr>
            <w:tcW w:w="1019"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出 生</w:t>
            </w:r>
          </w:p>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年 月</w:t>
            </w:r>
          </w:p>
        </w:tc>
        <w:tc>
          <w:tcPr>
            <w:tcW w:w="1357" w:type="dxa"/>
            <w:gridSpan w:val="3"/>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2200" w:type="dxa"/>
            <w:vMerge w:val="restart"/>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（两寸照片）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0" w:hRule="atLeast"/>
        </w:trPr>
        <w:tc>
          <w:tcPr>
            <w:tcW w:w="1064" w:type="dxa"/>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民</w:t>
            </w:r>
            <w:r>
              <w:rPr>
                <w:rFonts w:hint="eastAsia" w:asciiTheme="minorEastAsia" w:hAnsiTheme="minorEastAsia" w:cstheme="minorEastAsia"/>
                <w:sz w:val="24"/>
              </w:rPr>
              <w:t xml:space="preserve"> </w:t>
            </w:r>
            <w:r>
              <w:rPr>
                <w:rFonts w:asciiTheme="minorEastAsia" w:hAnsiTheme="minorEastAsia" w:cstheme="minorEastAsia"/>
                <w:sz w:val="24"/>
              </w:rPr>
              <w:t>族</w:t>
            </w:r>
          </w:p>
        </w:tc>
        <w:tc>
          <w:tcPr>
            <w:tcW w:w="1065"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1333"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籍 贯</w:t>
            </w:r>
          </w:p>
        </w:tc>
        <w:tc>
          <w:tcPr>
            <w:tcW w:w="1241"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imes New Roman" w:hAnsi="Times New Roman" w:cs="Times New Roman"/>
                <w:sz w:val="24"/>
              </w:rPr>
            </w:pPr>
          </w:p>
        </w:tc>
        <w:tc>
          <w:tcPr>
            <w:tcW w:w="1019"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政 治</w:t>
            </w:r>
          </w:p>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面 貌</w:t>
            </w:r>
          </w:p>
        </w:tc>
        <w:tc>
          <w:tcPr>
            <w:tcW w:w="1357" w:type="dxa"/>
            <w:gridSpan w:val="3"/>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2200" w:type="dxa"/>
            <w:vMerge w:val="continue"/>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0" w:hRule="atLeast"/>
        </w:trPr>
        <w:tc>
          <w:tcPr>
            <w:tcW w:w="1064" w:type="dxa"/>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参加工</w:t>
            </w:r>
          </w:p>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作时间</w:t>
            </w:r>
          </w:p>
        </w:tc>
        <w:tc>
          <w:tcPr>
            <w:tcW w:w="1065"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1333"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身份证号</w:t>
            </w:r>
          </w:p>
        </w:tc>
        <w:tc>
          <w:tcPr>
            <w:tcW w:w="3617" w:type="dxa"/>
            <w:gridSpan w:val="7"/>
            <w:tcBorders>
              <w:tl2br w:val="nil"/>
              <w:tr2bl w:val="nil"/>
            </w:tcBorders>
            <w:shd w:val="clear" w:color="auto" w:fill="auto"/>
            <w:tcMar>
              <w:left w:w="105" w:type="dxa"/>
              <w:right w:w="105" w:type="dxa"/>
            </w:tcMar>
            <w:vAlign w:val="center"/>
          </w:tcPr>
          <w:p>
            <w:pPr>
              <w:widowControl/>
              <w:spacing w:line="360" w:lineRule="exact"/>
              <w:jc w:val="center"/>
              <w:rPr>
                <w:rFonts w:ascii="Times New Roman" w:hAnsi="Times New Roman" w:cs="Times New Roman"/>
                <w:sz w:val="24"/>
              </w:rPr>
            </w:pPr>
          </w:p>
        </w:tc>
        <w:tc>
          <w:tcPr>
            <w:tcW w:w="2200" w:type="dxa"/>
            <w:vMerge w:val="continue"/>
            <w:tcBorders>
              <w:tl2br w:val="nil"/>
              <w:tr2bl w:val="nil"/>
            </w:tcBorders>
            <w:shd w:val="clear" w:color="auto" w:fill="auto"/>
            <w:tcMar>
              <w:left w:w="105" w:type="dxa"/>
              <w:right w:w="105" w:type="dxa"/>
            </w:tcMar>
            <w:vAlign w:val="center"/>
          </w:tcPr>
          <w:p>
            <w:pPr>
              <w:spacing w:line="360" w:lineRule="exact"/>
              <w:jc w:val="center"/>
              <w:rPr>
                <w:rFonts w:ascii="Times New Roman" w:hAnsi="Times New Roman"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38" w:hRule="atLeast"/>
        </w:trPr>
        <w:tc>
          <w:tcPr>
            <w:tcW w:w="1064" w:type="dxa"/>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学 历</w:t>
            </w:r>
          </w:p>
        </w:tc>
        <w:tc>
          <w:tcPr>
            <w:tcW w:w="1065"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1333"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毕业院校</w:t>
            </w:r>
            <w:r>
              <w:rPr>
                <w:rFonts w:hint="eastAsia" w:asciiTheme="minorEastAsia" w:hAnsiTheme="minorEastAsia" w:cstheme="minorEastAsia"/>
                <w:sz w:val="24"/>
              </w:rPr>
              <w:t>及</w:t>
            </w:r>
            <w:r>
              <w:rPr>
                <w:rFonts w:asciiTheme="minorEastAsia" w:hAnsiTheme="minorEastAsia" w:cstheme="minorEastAsia"/>
                <w:sz w:val="24"/>
              </w:rPr>
              <w:t>专业</w:t>
            </w:r>
          </w:p>
        </w:tc>
        <w:tc>
          <w:tcPr>
            <w:tcW w:w="3617" w:type="dxa"/>
            <w:gridSpan w:val="7"/>
            <w:tcBorders>
              <w:tl2br w:val="nil"/>
              <w:tr2bl w:val="nil"/>
            </w:tcBorders>
            <w:shd w:val="clear" w:color="auto" w:fill="auto"/>
            <w:tcMar>
              <w:left w:w="105" w:type="dxa"/>
              <w:right w:w="105" w:type="dxa"/>
            </w:tcMar>
            <w:vAlign w:val="center"/>
          </w:tcPr>
          <w:p>
            <w:pPr>
              <w:widowControl/>
              <w:spacing w:line="360" w:lineRule="exact"/>
              <w:jc w:val="center"/>
              <w:rPr>
                <w:rFonts w:ascii="Times New Roman" w:hAnsi="Times New Roman" w:cs="Times New Roman"/>
                <w:sz w:val="24"/>
              </w:rPr>
            </w:pPr>
          </w:p>
        </w:tc>
        <w:tc>
          <w:tcPr>
            <w:tcW w:w="2200" w:type="dxa"/>
            <w:vMerge w:val="continue"/>
            <w:tcBorders>
              <w:tl2br w:val="nil"/>
              <w:tr2bl w:val="nil"/>
            </w:tcBorders>
            <w:shd w:val="clear" w:color="auto" w:fill="auto"/>
            <w:tcMar>
              <w:left w:w="105" w:type="dxa"/>
              <w:right w:w="105" w:type="dxa"/>
            </w:tcMar>
            <w:vAlign w:val="center"/>
          </w:tcPr>
          <w:p>
            <w:pPr>
              <w:spacing w:line="360" w:lineRule="exact"/>
              <w:jc w:val="center"/>
              <w:rPr>
                <w:rFonts w:ascii="Times New Roman" w:hAnsi="Times New Roman"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60" w:hRule="atLeast"/>
        </w:trPr>
        <w:tc>
          <w:tcPr>
            <w:tcW w:w="1064" w:type="dxa"/>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专 业</w:t>
            </w:r>
          </w:p>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特 长</w:t>
            </w:r>
          </w:p>
        </w:tc>
        <w:tc>
          <w:tcPr>
            <w:tcW w:w="8215" w:type="dxa"/>
            <w:gridSpan w:val="12"/>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2" w:hRule="atLeast"/>
        </w:trPr>
        <w:tc>
          <w:tcPr>
            <w:tcW w:w="1064" w:type="dxa"/>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联</w:t>
            </w:r>
            <w:r>
              <w:rPr>
                <w:rFonts w:hint="eastAsia" w:asciiTheme="minorEastAsia" w:hAnsiTheme="minorEastAsia" w:cstheme="minorEastAsia"/>
                <w:sz w:val="24"/>
              </w:rPr>
              <w:t xml:space="preserve"> </w:t>
            </w:r>
            <w:r>
              <w:rPr>
                <w:rFonts w:asciiTheme="minorEastAsia" w:hAnsiTheme="minorEastAsia" w:cstheme="minorEastAsia"/>
                <w:sz w:val="24"/>
              </w:rPr>
              <w:t>系</w:t>
            </w:r>
          </w:p>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地 址</w:t>
            </w:r>
          </w:p>
        </w:tc>
        <w:tc>
          <w:tcPr>
            <w:tcW w:w="4208" w:type="dxa"/>
            <w:gridSpan w:val="7"/>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1258" w:type="dxa"/>
            <w:gridSpan w:val="3"/>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联系电话</w:t>
            </w:r>
          </w:p>
        </w:tc>
        <w:tc>
          <w:tcPr>
            <w:tcW w:w="2749"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imes New Roman" w:hAnsi="Times New Roman"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33" w:hRule="atLeast"/>
        </w:trPr>
        <w:tc>
          <w:tcPr>
            <w:tcW w:w="1064" w:type="dxa"/>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学</w:t>
            </w:r>
          </w:p>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习</w:t>
            </w:r>
          </w:p>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及</w:t>
            </w:r>
          </w:p>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工</w:t>
            </w:r>
          </w:p>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作</w:t>
            </w:r>
          </w:p>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简</w:t>
            </w:r>
          </w:p>
          <w:p>
            <w:pPr>
              <w:widowControl/>
              <w:spacing w:line="360" w:lineRule="exact"/>
              <w:jc w:val="center"/>
              <w:rPr>
                <w:rFonts w:ascii="Times New Roman" w:hAnsi="Times New Roman" w:cs="Times New Roman"/>
                <w:color w:val="333333"/>
                <w:sz w:val="24"/>
              </w:rPr>
            </w:pPr>
            <w:r>
              <w:rPr>
                <w:rFonts w:asciiTheme="minorEastAsia" w:hAnsiTheme="minorEastAsia" w:cstheme="minorEastAsia"/>
                <w:sz w:val="24"/>
              </w:rPr>
              <w:t>历</w:t>
            </w:r>
          </w:p>
        </w:tc>
        <w:tc>
          <w:tcPr>
            <w:tcW w:w="8215" w:type="dxa"/>
            <w:gridSpan w:val="12"/>
            <w:tcBorders>
              <w:tl2br w:val="nil"/>
              <w:tr2bl w:val="nil"/>
            </w:tcBorders>
            <w:shd w:val="clear" w:color="auto" w:fill="auto"/>
            <w:tcMar>
              <w:left w:w="105" w:type="dxa"/>
              <w:right w:w="105" w:type="dxa"/>
            </w:tcMar>
            <w:vAlign w:val="center"/>
          </w:tcPr>
          <w:p>
            <w:pPr>
              <w:widowControl/>
              <w:spacing w:line="360" w:lineRule="exact"/>
              <w:rPr>
                <w:rFonts w:ascii="Times New Roman" w:hAnsi="Times New Roman" w:cs="Times New Roman"/>
                <w:color w:val="333333"/>
                <w:sz w:val="24"/>
              </w:rPr>
            </w:pPr>
            <w:r>
              <w:rPr>
                <w:rFonts w:asciiTheme="minorEastAsia" w:hAnsiTheme="minorEastAsia" w:cstheme="minorEastAsia"/>
                <w:sz w:val="24"/>
              </w:rPr>
              <w:t>(注：从高中</w:t>
            </w:r>
            <w:r>
              <w:rPr>
                <w:rFonts w:hint="eastAsia" w:asciiTheme="minorEastAsia" w:hAnsiTheme="minorEastAsia" w:cstheme="minorEastAsia"/>
                <w:color w:val="FF0000"/>
                <w:sz w:val="24"/>
                <w:lang w:val="en-US" w:eastAsia="zh-CN"/>
              </w:rPr>
              <w:t>或中专</w:t>
            </w:r>
            <w:r>
              <w:rPr>
                <w:rFonts w:asciiTheme="minorEastAsia" w:hAnsiTheme="minorEastAsia" w:cstheme="minorEastAsia"/>
                <w:sz w:val="24"/>
              </w:rPr>
              <w:t>开始填起)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46" w:hRule="atLeast"/>
        </w:trPr>
        <w:tc>
          <w:tcPr>
            <w:tcW w:w="1064" w:type="dxa"/>
            <w:tcBorders>
              <w:tl2br w:val="nil"/>
              <w:tr2bl w:val="nil"/>
            </w:tcBorders>
            <w:shd w:val="clear" w:color="auto" w:fill="auto"/>
            <w:tcMar>
              <w:left w:w="105" w:type="dxa"/>
              <w:right w:w="105" w:type="dxa"/>
            </w:tcMar>
            <w:vAlign w:val="center"/>
          </w:tcPr>
          <w:p>
            <w:pPr>
              <w:widowControl/>
              <w:spacing w:line="360" w:lineRule="exact"/>
              <w:jc w:val="center"/>
              <w:rPr>
                <w:rFonts w:ascii="Times New Roman" w:hAnsi="Times New Roman" w:cs="Times New Roman"/>
                <w:color w:val="333333"/>
                <w:sz w:val="24"/>
              </w:rPr>
            </w:pPr>
            <w:r>
              <w:rPr>
                <w:rFonts w:asciiTheme="minorEastAsia" w:hAnsiTheme="minorEastAsia" w:cstheme="minorEastAsia"/>
                <w:sz w:val="24"/>
              </w:rPr>
              <w:t>近年来奖惩情况</w:t>
            </w:r>
          </w:p>
        </w:tc>
        <w:tc>
          <w:tcPr>
            <w:tcW w:w="8215" w:type="dxa"/>
            <w:gridSpan w:val="12"/>
            <w:tcBorders>
              <w:tl2br w:val="nil"/>
              <w:tr2bl w:val="nil"/>
            </w:tcBorders>
            <w:shd w:val="clear" w:color="auto" w:fill="auto"/>
            <w:tcMar>
              <w:left w:w="105" w:type="dxa"/>
              <w:right w:w="105" w:type="dxa"/>
            </w:tcMar>
            <w:vAlign w:val="center"/>
          </w:tcPr>
          <w:p>
            <w:pPr>
              <w:widowControl/>
              <w:spacing w:line="360" w:lineRule="exact"/>
              <w:rPr>
                <w:rFonts w:ascii="Times New Roman" w:hAnsi="Times New Roman"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05" w:hRule="atLeast"/>
        </w:trPr>
        <w:tc>
          <w:tcPr>
            <w:tcW w:w="1064" w:type="dxa"/>
            <w:vMerge w:val="restart"/>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家庭</w:t>
            </w:r>
          </w:p>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主要</w:t>
            </w:r>
          </w:p>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成员</w:t>
            </w:r>
          </w:p>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及重</w:t>
            </w:r>
          </w:p>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要社</w:t>
            </w:r>
          </w:p>
          <w:p>
            <w:pPr>
              <w:widowControl/>
              <w:spacing w:line="360" w:lineRule="exact"/>
              <w:jc w:val="center"/>
              <w:rPr>
                <w:rFonts w:asciiTheme="minorEastAsia" w:hAnsiTheme="minorEastAsia" w:cstheme="minorEastAsia"/>
                <w:sz w:val="24"/>
              </w:rPr>
            </w:pPr>
            <w:r>
              <w:rPr>
                <w:rFonts w:asciiTheme="minorEastAsia" w:hAnsiTheme="minorEastAsia" w:cstheme="minorEastAsia"/>
                <w:sz w:val="24"/>
              </w:rPr>
              <w:t>会关</w:t>
            </w:r>
          </w:p>
          <w:p>
            <w:pPr>
              <w:widowControl/>
              <w:spacing w:line="360" w:lineRule="exact"/>
              <w:jc w:val="center"/>
              <w:rPr>
                <w:rFonts w:ascii="Times New Roman" w:hAnsi="Times New Roman" w:cs="Times New Roman"/>
                <w:color w:val="333333"/>
                <w:sz w:val="24"/>
              </w:rPr>
            </w:pPr>
            <w:r>
              <w:rPr>
                <w:rFonts w:asciiTheme="minorEastAsia" w:hAnsiTheme="minorEastAsia" w:cstheme="minorEastAsia"/>
                <w:sz w:val="24"/>
              </w:rPr>
              <w:t>系</w:t>
            </w:r>
          </w:p>
        </w:tc>
        <w:tc>
          <w:tcPr>
            <w:tcW w:w="965" w:type="dxa"/>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r>
              <w:rPr>
                <w:rFonts w:hint="eastAsia" w:asciiTheme="minorEastAsia" w:hAnsiTheme="minorEastAsia" w:cstheme="minorEastAsia"/>
                <w:sz w:val="24"/>
              </w:rPr>
              <w:t>称 谓</w:t>
            </w:r>
          </w:p>
        </w:tc>
        <w:tc>
          <w:tcPr>
            <w:tcW w:w="1117"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r>
              <w:rPr>
                <w:rFonts w:hint="eastAsia" w:asciiTheme="minorEastAsia" w:hAnsiTheme="minorEastAsia" w:cstheme="minorEastAsia"/>
                <w:sz w:val="24"/>
              </w:rPr>
              <w:t>姓 名</w:t>
            </w:r>
          </w:p>
        </w:tc>
        <w:tc>
          <w:tcPr>
            <w:tcW w:w="1433"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r>
              <w:rPr>
                <w:rFonts w:hint="eastAsia" w:asciiTheme="minorEastAsia" w:hAnsiTheme="minorEastAsia" w:cstheme="minorEastAsia"/>
                <w:sz w:val="24"/>
              </w:rPr>
              <w:t>出生年月</w:t>
            </w:r>
          </w:p>
        </w:tc>
        <w:tc>
          <w:tcPr>
            <w:tcW w:w="1433" w:type="dxa"/>
            <w:gridSpan w:val="4"/>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r>
              <w:rPr>
                <w:rFonts w:hint="eastAsia" w:asciiTheme="minorEastAsia" w:hAnsiTheme="minorEastAsia" w:cstheme="minorEastAsia"/>
                <w:sz w:val="24"/>
              </w:rPr>
              <w:t>政治面貌</w:t>
            </w:r>
          </w:p>
        </w:tc>
        <w:tc>
          <w:tcPr>
            <w:tcW w:w="3267" w:type="dxa"/>
            <w:gridSpan w:val="3"/>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r>
              <w:rPr>
                <w:rFonts w:hint="eastAsia" w:asciiTheme="minorEastAsia" w:hAnsiTheme="minorEastAsia" w:cstheme="minorEastAsia"/>
                <w:sz w:val="24"/>
              </w:rPr>
              <w:t>职业或工作单位、职务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atLeast"/>
        </w:trPr>
        <w:tc>
          <w:tcPr>
            <w:tcW w:w="1064" w:type="dxa"/>
            <w:vMerge w:val="continue"/>
            <w:tcBorders>
              <w:tl2br w:val="nil"/>
              <w:tr2bl w:val="nil"/>
            </w:tcBorders>
            <w:shd w:val="clear" w:color="auto" w:fill="auto"/>
            <w:tcMar>
              <w:left w:w="105" w:type="dxa"/>
              <w:right w:w="105" w:type="dxa"/>
            </w:tcMar>
            <w:vAlign w:val="center"/>
          </w:tcPr>
          <w:p>
            <w:pPr>
              <w:spacing w:line="360" w:lineRule="exact"/>
              <w:jc w:val="center"/>
              <w:rPr>
                <w:rFonts w:ascii="Times New Roman" w:hAnsi="Times New Roman" w:cs="Times New Roman"/>
                <w:sz w:val="24"/>
              </w:rPr>
            </w:pPr>
          </w:p>
        </w:tc>
        <w:tc>
          <w:tcPr>
            <w:tcW w:w="965" w:type="dxa"/>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1117"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1433"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1433" w:type="dxa"/>
            <w:gridSpan w:val="4"/>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3267" w:type="dxa"/>
            <w:gridSpan w:val="3"/>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atLeast"/>
        </w:trPr>
        <w:tc>
          <w:tcPr>
            <w:tcW w:w="1064" w:type="dxa"/>
            <w:vMerge w:val="continue"/>
            <w:tcBorders>
              <w:tl2br w:val="nil"/>
              <w:tr2bl w:val="nil"/>
            </w:tcBorders>
            <w:shd w:val="clear" w:color="auto" w:fill="auto"/>
            <w:tcMar>
              <w:left w:w="105" w:type="dxa"/>
              <w:right w:w="105" w:type="dxa"/>
            </w:tcMar>
            <w:vAlign w:val="center"/>
          </w:tcPr>
          <w:p>
            <w:pPr>
              <w:spacing w:line="360" w:lineRule="exact"/>
              <w:jc w:val="center"/>
              <w:rPr>
                <w:rFonts w:ascii="Times New Roman" w:hAnsi="Times New Roman" w:cs="Times New Roman"/>
                <w:sz w:val="24"/>
              </w:rPr>
            </w:pPr>
          </w:p>
        </w:tc>
        <w:tc>
          <w:tcPr>
            <w:tcW w:w="965" w:type="dxa"/>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1117"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1433"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1433" w:type="dxa"/>
            <w:gridSpan w:val="4"/>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3267" w:type="dxa"/>
            <w:gridSpan w:val="3"/>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atLeast"/>
        </w:trPr>
        <w:tc>
          <w:tcPr>
            <w:tcW w:w="1064" w:type="dxa"/>
            <w:vMerge w:val="continue"/>
            <w:tcBorders>
              <w:tl2br w:val="nil"/>
              <w:tr2bl w:val="nil"/>
            </w:tcBorders>
            <w:shd w:val="clear" w:color="auto" w:fill="auto"/>
            <w:tcMar>
              <w:left w:w="105" w:type="dxa"/>
              <w:right w:w="105" w:type="dxa"/>
            </w:tcMar>
            <w:vAlign w:val="center"/>
          </w:tcPr>
          <w:p>
            <w:pPr>
              <w:spacing w:line="360" w:lineRule="exact"/>
              <w:jc w:val="center"/>
              <w:rPr>
                <w:rFonts w:ascii="Times New Roman" w:hAnsi="Times New Roman" w:cs="Times New Roman"/>
                <w:sz w:val="24"/>
              </w:rPr>
            </w:pPr>
          </w:p>
        </w:tc>
        <w:tc>
          <w:tcPr>
            <w:tcW w:w="965" w:type="dxa"/>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1117"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1433"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1433" w:type="dxa"/>
            <w:gridSpan w:val="4"/>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3267" w:type="dxa"/>
            <w:gridSpan w:val="3"/>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atLeast"/>
        </w:trPr>
        <w:tc>
          <w:tcPr>
            <w:tcW w:w="1064" w:type="dxa"/>
            <w:vMerge w:val="continue"/>
            <w:tcBorders>
              <w:tl2br w:val="nil"/>
              <w:tr2bl w:val="nil"/>
            </w:tcBorders>
            <w:shd w:val="clear" w:color="auto" w:fill="auto"/>
            <w:tcMar>
              <w:left w:w="105" w:type="dxa"/>
              <w:right w:w="105" w:type="dxa"/>
            </w:tcMar>
            <w:vAlign w:val="center"/>
          </w:tcPr>
          <w:p>
            <w:pPr>
              <w:spacing w:line="360" w:lineRule="exact"/>
              <w:jc w:val="center"/>
              <w:rPr>
                <w:rFonts w:ascii="Times New Roman" w:hAnsi="Times New Roman" w:cs="Times New Roman"/>
                <w:sz w:val="24"/>
              </w:rPr>
            </w:pPr>
          </w:p>
        </w:tc>
        <w:tc>
          <w:tcPr>
            <w:tcW w:w="965" w:type="dxa"/>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1117"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1433"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1433" w:type="dxa"/>
            <w:gridSpan w:val="4"/>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3267" w:type="dxa"/>
            <w:gridSpan w:val="3"/>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atLeast"/>
        </w:trPr>
        <w:tc>
          <w:tcPr>
            <w:tcW w:w="1064" w:type="dxa"/>
            <w:vMerge w:val="continue"/>
            <w:tcBorders>
              <w:tl2br w:val="nil"/>
              <w:tr2bl w:val="nil"/>
            </w:tcBorders>
            <w:shd w:val="clear" w:color="auto" w:fill="auto"/>
            <w:tcMar>
              <w:left w:w="105" w:type="dxa"/>
              <w:right w:w="105" w:type="dxa"/>
            </w:tcMar>
            <w:vAlign w:val="center"/>
          </w:tcPr>
          <w:p>
            <w:pPr>
              <w:spacing w:line="360" w:lineRule="exact"/>
              <w:jc w:val="center"/>
              <w:rPr>
                <w:rFonts w:ascii="Times New Roman" w:hAnsi="Times New Roman" w:cs="Times New Roman"/>
                <w:sz w:val="24"/>
              </w:rPr>
            </w:pPr>
          </w:p>
        </w:tc>
        <w:tc>
          <w:tcPr>
            <w:tcW w:w="965" w:type="dxa"/>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1117"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1433" w:type="dxa"/>
            <w:gridSpan w:val="2"/>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1433" w:type="dxa"/>
            <w:gridSpan w:val="4"/>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c>
          <w:tcPr>
            <w:tcW w:w="3267" w:type="dxa"/>
            <w:gridSpan w:val="3"/>
            <w:tcBorders>
              <w:tl2br w:val="nil"/>
              <w:tr2bl w:val="nil"/>
            </w:tcBorders>
            <w:shd w:val="clear" w:color="auto" w:fill="auto"/>
            <w:tcMar>
              <w:left w:w="105" w:type="dxa"/>
              <w:right w:w="105" w:type="dxa"/>
            </w:tcMar>
            <w:vAlign w:val="center"/>
          </w:tcPr>
          <w:p>
            <w:pPr>
              <w:widowControl/>
              <w:spacing w:line="360" w:lineRule="exact"/>
              <w:jc w:val="center"/>
              <w:rPr>
                <w:rFonts w:asciiTheme="minorEastAsia" w:hAnsiTheme="minorEastAsia" w:cstheme="minorEastAsia"/>
                <w:sz w:val="24"/>
              </w:rPr>
            </w:pPr>
          </w:p>
        </w:tc>
      </w:tr>
    </w:tbl>
    <w:p>
      <w:pPr>
        <w:pStyle w:val="4"/>
        <w:widowControl/>
        <w:spacing w:beforeAutospacing="0" w:afterAutospacing="0" w:line="560" w:lineRule="exact"/>
        <w:jc w:val="center"/>
        <w:rPr>
          <w:rFonts w:ascii="微软雅黑" w:hAnsi="微软雅黑" w:eastAsia="微软雅黑" w:cs="微软雅黑"/>
          <w:color w:val="333333"/>
        </w:rPr>
      </w:pPr>
      <w:r>
        <w:rPr>
          <w:rFonts w:ascii="Times New Roman" w:hAnsi="Times New Roman" w:eastAsia="微软雅黑"/>
          <w:color w:val="333333"/>
          <w:sz w:val="43"/>
          <w:szCs w:val="43"/>
          <w:shd w:val="clear" w:color="auto" w:fill="FFFFFF"/>
        </w:rPr>
        <w:t> </w:t>
      </w:r>
    </w:p>
    <w:p>
      <w:pPr>
        <w:widowControl/>
        <w:spacing w:line="360" w:lineRule="exact"/>
        <w:jc w:val="left"/>
        <w:rPr>
          <w:rFonts w:ascii="微软雅黑" w:hAnsi="微软雅黑" w:eastAsia="微软雅黑" w:cs="微软雅黑"/>
          <w:color w:val="333333"/>
          <w:szCs w:val="21"/>
        </w:rPr>
      </w:pPr>
      <w:r>
        <w:rPr>
          <w:rFonts w:ascii="Times New Roman" w:hAnsi="Times New Roman" w:eastAsia="微软雅黑" w:cs="Times New Roman"/>
          <w:color w:val="333333"/>
          <w:kern w:val="0"/>
          <w:szCs w:val="21"/>
          <w:shd w:val="clear" w:color="auto" w:fill="FFFFFF"/>
        </w:rPr>
        <w:t>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ODdmZmViNDExNDFmMjg1NjkxMjFlMTk4YzM5NzYifQ=="/>
  </w:docVars>
  <w:rsids>
    <w:rsidRoot w:val="3F0B66CD"/>
    <w:rsid w:val="0000541F"/>
    <w:rsid w:val="00072257"/>
    <w:rsid w:val="000F0D3D"/>
    <w:rsid w:val="00124424"/>
    <w:rsid w:val="001553B0"/>
    <w:rsid w:val="00224E2B"/>
    <w:rsid w:val="002F3584"/>
    <w:rsid w:val="004B5120"/>
    <w:rsid w:val="004D6E04"/>
    <w:rsid w:val="00507B3B"/>
    <w:rsid w:val="00717AB1"/>
    <w:rsid w:val="007D212E"/>
    <w:rsid w:val="007F3B03"/>
    <w:rsid w:val="008D18B5"/>
    <w:rsid w:val="00A0161D"/>
    <w:rsid w:val="00A348D0"/>
    <w:rsid w:val="00AB6D8A"/>
    <w:rsid w:val="00BF3301"/>
    <w:rsid w:val="00CF792D"/>
    <w:rsid w:val="00D945F2"/>
    <w:rsid w:val="00E9622B"/>
    <w:rsid w:val="00FE2099"/>
    <w:rsid w:val="09F7026C"/>
    <w:rsid w:val="10D74D03"/>
    <w:rsid w:val="13C023BA"/>
    <w:rsid w:val="19A67C64"/>
    <w:rsid w:val="19B55114"/>
    <w:rsid w:val="1A9014B3"/>
    <w:rsid w:val="1B334A0A"/>
    <w:rsid w:val="1DB42FAA"/>
    <w:rsid w:val="1DD8746D"/>
    <w:rsid w:val="1EC25AEE"/>
    <w:rsid w:val="23287DBB"/>
    <w:rsid w:val="240F2C83"/>
    <w:rsid w:val="274402A0"/>
    <w:rsid w:val="27E2722A"/>
    <w:rsid w:val="28322F06"/>
    <w:rsid w:val="2CEA51CF"/>
    <w:rsid w:val="2CF47464"/>
    <w:rsid w:val="2EF5104E"/>
    <w:rsid w:val="304070FC"/>
    <w:rsid w:val="30A752A2"/>
    <w:rsid w:val="37701F48"/>
    <w:rsid w:val="37734130"/>
    <w:rsid w:val="39984EC2"/>
    <w:rsid w:val="3B2871FD"/>
    <w:rsid w:val="3E973879"/>
    <w:rsid w:val="3F0B66CD"/>
    <w:rsid w:val="42F025B9"/>
    <w:rsid w:val="432E3F4D"/>
    <w:rsid w:val="465E43F9"/>
    <w:rsid w:val="483E1396"/>
    <w:rsid w:val="49416E2A"/>
    <w:rsid w:val="498D2DA2"/>
    <w:rsid w:val="4C0537B1"/>
    <w:rsid w:val="4D587BF8"/>
    <w:rsid w:val="4E030D78"/>
    <w:rsid w:val="4EDF0AF1"/>
    <w:rsid w:val="54D0103D"/>
    <w:rsid w:val="555D4F7C"/>
    <w:rsid w:val="57F802E3"/>
    <w:rsid w:val="58625D9E"/>
    <w:rsid w:val="5AC95C92"/>
    <w:rsid w:val="5B500F01"/>
    <w:rsid w:val="5BB70691"/>
    <w:rsid w:val="5BBF7899"/>
    <w:rsid w:val="5CA41888"/>
    <w:rsid w:val="5DAD51F6"/>
    <w:rsid w:val="5FCA4D86"/>
    <w:rsid w:val="61E52E31"/>
    <w:rsid w:val="63AF3FA2"/>
    <w:rsid w:val="6417691E"/>
    <w:rsid w:val="64B93121"/>
    <w:rsid w:val="6A2B3F85"/>
    <w:rsid w:val="6B2539EE"/>
    <w:rsid w:val="6D396CA7"/>
    <w:rsid w:val="70A4699C"/>
    <w:rsid w:val="75C56285"/>
    <w:rsid w:val="766C465C"/>
    <w:rsid w:val="7B2C4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1676</Words>
  <Characters>1753</Characters>
  <Lines>13</Lines>
  <Paragraphs>3</Paragraphs>
  <TotalTime>20</TotalTime>
  <ScaleCrop>false</ScaleCrop>
  <LinksUpToDate>false</LinksUpToDate>
  <CharactersWithSpaces>1772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2020-10-28T03:36:00Z</dcterms:created>
  <dc:creator>Andy</dc:creator>
  <cp:lastModifiedBy>lenovo</cp:lastModifiedBy>
  <cp:lastPrinted>2023-07-20T02:26:00Z</cp:lastPrinted>
  <dcterms:modified xsi:type="dcterms:W3CDTF">2023-07-20T03:47:49Z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D1B95FF636B340CC85CB94B8A9220A36_13</vt:lpwstr>
  </property>
</Properties>
</file>